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115" w:type="dxa"/>
        </w:tblCellMar>
        <w:tblLook w:val="04A0" w:firstRow="1" w:lastRow="0" w:firstColumn="1" w:lastColumn="0" w:noHBand="0" w:noVBand="1"/>
      </w:tblPr>
      <w:tblGrid>
        <w:gridCol w:w="9360"/>
      </w:tblGrid>
      <w:tr w:rsidR="00227747" w:rsidRPr="009D3AAA" w14:paraId="00357747" w14:textId="77777777" w:rsidTr="00E72FF5">
        <w:tc>
          <w:tcPr>
            <w:tcW w:w="9360" w:type="dxa"/>
            <w:tcBorders>
              <w:top w:val="single" w:sz="4" w:space="0" w:color="276297"/>
            </w:tcBorders>
            <w:vAlign w:val="bottom"/>
          </w:tcPr>
          <w:p w14:paraId="504EF5B8" w14:textId="77777777" w:rsidR="00227747" w:rsidRPr="009D3AAA" w:rsidRDefault="007D204F" w:rsidP="00AF467B">
            <w:pPr>
              <w:pStyle w:val="BriefTitle"/>
            </w:pPr>
            <w:sdt>
              <w:sdtPr>
                <w:id w:val="-551537447"/>
                <w:placeholder>
                  <w:docPart w:val="098B100C64B14C559909C616E115637D"/>
                </w:placeholder>
              </w:sdtPr>
              <w:sdtEndPr/>
              <w:sdtContent>
                <w:r w:rsidR="002F4596">
                  <w:t xml:space="preserve">The Personnel Information Exemption under </w:t>
                </w:r>
                <w:r w:rsidR="002F4596" w:rsidRPr="002F4596">
                  <w:t>§ 2.2-3705.1(1)</w:t>
                </w:r>
              </w:sdtContent>
            </w:sdt>
          </w:p>
        </w:tc>
      </w:tr>
      <w:tr w:rsidR="008407C3" w:rsidRPr="009D3AAA" w14:paraId="5587D048" w14:textId="77777777" w:rsidTr="00476BB2">
        <w:tc>
          <w:tcPr>
            <w:tcW w:w="9360" w:type="dxa"/>
            <w:vAlign w:val="bottom"/>
          </w:tcPr>
          <w:p w14:paraId="1E2D93B2" w14:textId="77777777" w:rsidR="008407C3" w:rsidRPr="009D3AAA" w:rsidRDefault="007D204F" w:rsidP="00CC3641">
            <w:pPr>
              <w:pStyle w:val="BriefSubtitle"/>
            </w:pPr>
            <w:sdt>
              <w:sdtPr>
                <w:id w:val="307830725"/>
                <w:placeholder>
                  <w:docPart w:val="D8CC7734F9CD437FA68FC14636A66D86"/>
                </w:placeholder>
              </w:sdtPr>
              <w:sdtEndPr/>
              <w:sdtContent>
                <w:r w:rsidR="00AF467B" w:rsidRPr="00AF467B">
                  <w:t>Hawkins v. Town of South Hill</w:t>
                </w:r>
              </w:sdtContent>
            </w:sdt>
          </w:p>
        </w:tc>
      </w:tr>
      <w:tr w:rsidR="008407C3" w:rsidRPr="009D3AAA" w14:paraId="1307D9F9" w14:textId="77777777" w:rsidTr="00E72FF5">
        <w:tc>
          <w:tcPr>
            <w:tcW w:w="9360" w:type="dxa"/>
            <w:tcBorders>
              <w:bottom w:val="single" w:sz="4" w:space="0" w:color="276297"/>
            </w:tcBorders>
            <w:vAlign w:val="bottom"/>
          </w:tcPr>
          <w:p w14:paraId="564E405B" w14:textId="77777777" w:rsidR="008407C3" w:rsidRPr="009D3AAA" w:rsidRDefault="007D204F" w:rsidP="00CC3641">
            <w:pPr>
              <w:pStyle w:val="BriefMonthYear"/>
            </w:pPr>
            <w:sdt>
              <w:sdtPr>
                <w:id w:val="-1501889010"/>
                <w:placeholder>
                  <w:docPart w:val="92724DED829547AB87F8168180C7EF54"/>
                </w:placeholder>
              </w:sdtPr>
              <w:sdtEndPr/>
              <w:sdtContent>
                <w:r w:rsidR="00CC3641">
                  <w:t>December 2022</w:t>
                </w:r>
              </w:sdtContent>
            </w:sdt>
          </w:p>
        </w:tc>
      </w:tr>
      <w:tr w:rsidR="0054526B" w:rsidRPr="009D3AAA" w14:paraId="3A232AC4" w14:textId="77777777" w:rsidTr="00E72FF5">
        <w:tc>
          <w:tcPr>
            <w:tcW w:w="9360" w:type="dxa"/>
            <w:tcBorders>
              <w:top w:val="single" w:sz="4" w:space="0" w:color="276297"/>
              <w:bottom w:val="single" w:sz="4" w:space="0" w:color="276297"/>
            </w:tcBorders>
            <w:vAlign w:val="bottom"/>
          </w:tcPr>
          <w:p w14:paraId="0DB0290A" w14:textId="43EF9787" w:rsidR="00B6624C" w:rsidRPr="009D3AAA" w:rsidRDefault="007464A7" w:rsidP="00B6624C">
            <w:pPr>
              <w:pStyle w:val="BriefAuthor"/>
            </w:pPr>
            <w:r>
              <w:t xml:space="preserve">Prepared By </w:t>
            </w:r>
            <w:sdt>
              <w:sdtPr>
                <w:id w:val="1616718093"/>
                <w:placeholder>
                  <w:docPart w:val="60FCF4B64F1B427EB6A1F117E93B3D46"/>
                </w:placeholder>
              </w:sdtPr>
              <w:sdtEndPr/>
              <w:sdtContent>
                <w:r w:rsidR="004C42AE" w:rsidRPr="004C42AE">
                  <w:t>Joseph Underwoo</w:t>
                </w:r>
                <w:r w:rsidR="004C42AE">
                  <w:t xml:space="preserve">d, Senior Attorney, FOIA Council                  </w:t>
                </w:r>
                <w:r w:rsidR="00CC3641">
                  <w:t>Alan Gernhar</w:t>
                </w:r>
                <w:r w:rsidR="00AF467B">
                  <w:t>dt, Executive Director,</w:t>
                </w:r>
                <w:r w:rsidR="00CC3641">
                  <w:t xml:space="preserve"> FOIA Council     </w:t>
                </w:r>
                <w:r w:rsidR="004C42AE">
                  <w:t xml:space="preserve">                           </w:t>
                </w:r>
                <w:r w:rsidR="004C42AE" w:rsidRPr="004C42AE">
                  <w:t>Division of Legislative Services</w:t>
                </w:r>
              </w:sdtContent>
            </w:sdt>
          </w:p>
        </w:tc>
      </w:tr>
    </w:tbl>
    <w:p w14:paraId="722C7BA4" w14:textId="77777777" w:rsidR="00780A54" w:rsidRDefault="00780A54" w:rsidP="00780A54">
      <w:pPr>
        <w:pStyle w:val="Brieftext"/>
      </w:pPr>
    </w:p>
    <w:p w14:paraId="480096C9" w14:textId="520F11A0" w:rsidR="00AF6B9C" w:rsidRDefault="00AF467B" w:rsidP="00780A54">
      <w:pPr>
        <w:pStyle w:val="Brieftext"/>
      </w:pPr>
      <w:r>
        <w:t>On October</w:t>
      </w:r>
      <w:r w:rsidRPr="00AF467B">
        <w:t xml:space="preserve"> 20, 2022</w:t>
      </w:r>
      <w:r>
        <w:t xml:space="preserve">, the Virginia </w:t>
      </w:r>
      <w:r w:rsidRPr="00AF467B">
        <w:t xml:space="preserve">Supreme Court </w:t>
      </w:r>
      <w:r w:rsidR="003C588F">
        <w:t>published its decision in</w:t>
      </w:r>
      <w:r w:rsidRPr="00AF467B">
        <w:t xml:space="preserve"> </w:t>
      </w:r>
      <w:r w:rsidRPr="00AF467B">
        <w:rPr>
          <w:i/>
        </w:rPr>
        <w:t>Hawkins v. Town of South Hill</w:t>
      </w:r>
      <w:r w:rsidR="00E725CE" w:rsidRPr="00E725CE">
        <w:t>,</w:t>
      </w:r>
      <w:r w:rsidRPr="00E725CE">
        <w:t xml:space="preserve"> </w:t>
      </w:r>
      <w:r w:rsidR="00E725CE" w:rsidRPr="00E725CE">
        <w:t xml:space="preserve">Record No. </w:t>
      </w:r>
      <w:r w:rsidR="00E725CE" w:rsidRPr="0012703D">
        <w:t>210848</w:t>
      </w:r>
      <w:r w:rsidR="00FE6647" w:rsidRPr="0012703D">
        <w:t>878</w:t>
      </w:r>
      <w:r w:rsidR="00E725CE">
        <w:t xml:space="preserve">, </w:t>
      </w:r>
      <w:r w:rsidR="00FE6647">
        <w:t>S.E.2d 408</w:t>
      </w:r>
      <w:r w:rsidR="00E725CE">
        <w:t xml:space="preserve"> (2022)</w:t>
      </w:r>
      <w:r w:rsidR="00BB0417">
        <w:t xml:space="preserve">. </w:t>
      </w:r>
      <w:r>
        <w:t>The Supreme Court</w:t>
      </w:r>
      <w:r w:rsidR="00B423C2">
        <w:t>'</w:t>
      </w:r>
      <w:r w:rsidR="00B05966">
        <w:t xml:space="preserve">s opinion </w:t>
      </w:r>
      <w:r w:rsidR="00EA6FC9">
        <w:t xml:space="preserve">specifically focused on </w:t>
      </w:r>
      <w:r w:rsidR="00B05966">
        <w:t xml:space="preserve">the </w:t>
      </w:r>
      <w:r w:rsidR="00B05966" w:rsidRPr="00B05966">
        <w:t xml:space="preserve">personnel information exemption </w:t>
      </w:r>
      <w:r w:rsidR="00B05966">
        <w:t xml:space="preserve">for </w:t>
      </w:r>
      <w:r w:rsidR="00EA6FC9">
        <w:t xml:space="preserve">public </w:t>
      </w:r>
      <w:r w:rsidR="00B05966">
        <w:t xml:space="preserve">employees as </w:t>
      </w:r>
      <w:r w:rsidR="00B05966" w:rsidRPr="00B05966">
        <w:t>set forth in</w:t>
      </w:r>
      <w:r w:rsidR="00AD21F9">
        <w:t xml:space="preserve"> </w:t>
      </w:r>
      <w:r w:rsidR="00B05966" w:rsidRPr="00B05966">
        <w:t>§ 2.2-3705.1(1)</w:t>
      </w:r>
      <w:r w:rsidR="00B05966">
        <w:t xml:space="preserve"> of the Virginia Freedom of Information Act (</w:t>
      </w:r>
      <w:r w:rsidR="00310182">
        <w:t>FOIA</w:t>
      </w:r>
      <w:r w:rsidR="00B05966">
        <w:t>)</w:t>
      </w:r>
      <w:r w:rsidR="00AD21F9">
        <w:t xml:space="preserve"> (</w:t>
      </w:r>
      <w:r w:rsidR="00AD21F9" w:rsidRPr="00B05966">
        <w:t>§</w:t>
      </w:r>
      <w:r w:rsidR="00AD21F9">
        <w:t xml:space="preserve"> 2.2 3700 et seq. of the Code of Virginia)</w:t>
      </w:r>
      <w:r w:rsidR="00B05966">
        <w:t xml:space="preserve">. </w:t>
      </w:r>
      <w:r w:rsidR="00EA6FC9">
        <w:t xml:space="preserve">The Supreme Court analyzed this exemption in depth </w:t>
      </w:r>
      <w:r w:rsidR="00017528">
        <w:t>and set forth</w:t>
      </w:r>
      <w:r w:rsidR="00274070">
        <w:t xml:space="preserve"> </w:t>
      </w:r>
      <w:r w:rsidR="00EA6FC9">
        <w:t xml:space="preserve">newly formulated guidance to be utilized </w:t>
      </w:r>
      <w:r w:rsidR="00E725CE">
        <w:t xml:space="preserve">in </w:t>
      </w:r>
      <w:r w:rsidR="00274070">
        <w:t>determ</w:t>
      </w:r>
      <w:r w:rsidR="00017528">
        <w:t>in</w:t>
      </w:r>
      <w:r w:rsidR="00274070">
        <w:t xml:space="preserve">ing whether </w:t>
      </w:r>
      <w:r w:rsidR="00E725CE">
        <w:t xml:space="preserve">employee information contained in </w:t>
      </w:r>
      <w:r w:rsidR="00274070">
        <w:t>public records may be withheld from public disclosure</w:t>
      </w:r>
      <w:r w:rsidR="00BB0417">
        <w:t>.</w:t>
      </w:r>
    </w:p>
    <w:p w14:paraId="59A57C2D" w14:textId="77777777" w:rsidR="00AF6B9C" w:rsidRPr="00EB7466" w:rsidRDefault="00AF6B9C" w:rsidP="00167A67">
      <w:pPr>
        <w:pStyle w:val="BriefHeading2"/>
      </w:pPr>
      <w:r w:rsidRPr="00EB7466">
        <w:t>Background and Procedural History</w:t>
      </w:r>
    </w:p>
    <w:p w14:paraId="3C99BE6A" w14:textId="33BB0515" w:rsidR="006E14F4" w:rsidRDefault="006E14F4" w:rsidP="006E14F4">
      <w:pPr>
        <w:pStyle w:val="Brieftext"/>
      </w:pPr>
      <w:r>
        <w:t xml:space="preserve">In autumn of 2019, </w:t>
      </w:r>
      <w:r w:rsidRPr="006E14F4">
        <w:t>R</w:t>
      </w:r>
      <w:r>
        <w:t>ichard Hawkins, III (</w:t>
      </w:r>
      <w:r w:rsidR="00BB0417">
        <w:t>Hawkins</w:t>
      </w:r>
      <w:r>
        <w:t>) requested documents from the Town of South Hill (Town) relating to employment disputes involving the Town Manager and various employees.</w:t>
      </w:r>
      <w:r w:rsidR="00E725CE">
        <w:rPr>
          <w:rStyle w:val="FootnoteReference"/>
        </w:rPr>
        <w:footnoteReference w:id="1"/>
      </w:r>
      <w:r w:rsidR="00C96189" w:rsidRPr="00C96189">
        <w:t xml:space="preserve"> </w:t>
      </w:r>
      <w:r>
        <w:t xml:space="preserve">Hawkins submitted four </w:t>
      </w:r>
      <w:r w:rsidR="00310182">
        <w:t>FOIA</w:t>
      </w:r>
      <w:r>
        <w:t xml:space="preserve"> requests </w:t>
      </w:r>
      <w:r w:rsidR="00C96189">
        <w:t>in total</w:t>
      </w:r>
      <w:r w:rsidR="00B423C2">
        <w:t xml:space="preserve"> and received</w:t>
      </w:r>
      <w:r w:rsidR="007B45D0">
        <w:t xml:space="preserve"> a response</w:t>
      </w:r>
      <w:r w:rsidR="00B423C2">
        <w:t xml:space="preserve"> from the Town</w:t>
      </w:r>
      <w:r w:rsidR="007B45D0">
        <w:t xml:space="preserve"> each time.</w:t>
      </w:r>
      <w:r w:rsidR="007B45D0">
        <w:rPr>
          <w:rStyle w:val="FootnoteReference"/>
        </w:rPr>
        <w:footnoteReference w:id="2"/>
      </w:r>
      <w:r w:rsidR="007B45D0">
        <w:t xml:space="preserve"> </w:t>
      </w:r>
      <w:r w:rsidR="00C96189">
        <w:t xml:space="preserve">Nonetheless, </w:t>
      </w:r>
      <w:r>
        <w:t xml:space="preserve">Hawkins believed </w:t>
      </w:r>
      <w:r w:rsidR="00D43830">
        <w:t>the Town</w:t>
      </w:r>
      <w:r w:rsidR="00B423C2">
        <w:t>'</w:t>
      </w:r>
      <w:r w:rsidR="00D43830">
        <w:t xml:space="preserve">s responses </w:t>
      </w:r>
      <w:r>
        <w:t>to be d</w:t>
      </w:r>
      <w:r w:rsidR="00D43830">
        <w:t>eficient, and upon</w:t>
      </w:r>
      <w:r>
        <w:t xml:space="preserve"> receiving </w:t>
      </w:r>
      <w:r w:rsidRPr="006E14F4">
        <w:t xml:space="preserve">the final </w:t>
      </w:r>
      <w:r w:rsidR="00310182">
        <w:t>FOIA</w:t>
      </w:r>
      <w:r w:rsidRPr="006E14F4">
        <w:t xml:space="preserve"> response from the Town, </w:t>
      </w:r>
      <w:r w:rsidR="00D43830">
        <w:t>he</w:t>
      </w:r>
      <w:r w:rsidRPr="006E14F4">
        <w:t xml:space="preserve"> filed </w:t>
      </w:r>
      <w:r w:rsidR="00B05966">
        <w:t>a pro se</w:t>
      </w:r>
      <w:r w:rsidR="00A804EC">
        <w:t xml:space="preserve"> petition</w:t>
      </w:r>
      <w:r w:rsidR="00B05966" w:rsidRPr="00B05966">
        <w:t xml:space="preserve"> for a writ </w:t>
      </w:r>
      <w:r w:rsidR="00B423C2">
        <w:t>of mandamus (</w:t>
      </w:r>
      <w:r w:rsidR="00B05966" w:rsidRPr="00B05966">
        <w:t>Petitio</w:t>
      </w:r>
      <w:r w:rsidR="00B423C2">
        <w:t>n</w:t>
      </w:r>
      <w:r w:rsidR="00B05966">
        <w:t>)</w:t>
      </w:r>
      <w:r w:rsidR="00036F0A">
        <w:t xml:space="preserve"> </w:t>
      </w:r>
      <w:r>
        <w:t>alleging</w:t>
      </w:r>
      <w:r w:rsidRPr="006E14F4">
        <w:t xml:space="preserve"> that the Town asserted </w:t>
      </w:r>
      <w:r w:rsidR="00310182">
        <w:t>FOIA</w:t>
      </w:r>
      <w:r w:rsidRPr="006E14F4">
        <w:t xml:space="preserve"> exemptions </w:t>
      </w:r>
      <w:r w:rsidR="00B423C2">
        <w:t>"</w:t>
      </w:r>
      <w:r w:rsidRPr="006E14F4">
        <w:t>too broadly and withheld documents that should have been released or redacted.</w:t>
      </w:r>
      <w:r w:rsidR="00B423C2">
        <w:t>"</w:t>
      </w:r>
      <w:r w:rsidR="007B45D0">
        <w:rPr>
          <w:rStyle w:val="FootnoteReference"/>
        </w:rPr>
        <w:footnoteReference w:id="3"/>
      </w:r>
      <w:r w:rsidRPr="006E14F4">
        <w:t xml:space="preserve"> H</w:t>
      </w:r>
      <w:r>
        <w:t xml:space="preserve">awkins </w:t>
      </w:r>
      <w:r w:rsidRPr="006E14F4">
        <w:t xml:space="preserve">requested the </w:t>
      </w:r>
      <w:r w:rsidR="00EB7466" w:rsidRPr="00EB7466">
        <w:t>Mecklenburg County Circuit Court</w:t>
      </w:r>
      <w:r w:rsidR="00EB7466">
        <w:t xml:space="preserve"> </w:t>
      </w:r>
      <w:r w:rsidR="00B423C2">
        <w:t>"</w:t>
      </w:r>
      <w:r w:rsidRPr="006E14F4">
        <w:t xml:space="preserve">to compel the Town to produce the requested documents, impose civil penalties under </w:t>
      </w:r>
      <w:r w:rsidR="00310182">
        <w:t>FOIA</w:t>
      </w:r>
      <w:r w:rsidRPr="006E14F4">
        <w:t>, and award him his attorney</w:t>
      </w:r>
      <w:r w:rsidR="00B423C2">
        <w:t>'</w:t>
      </w:r>
      <w:r w:rsidRPr="006E14F4">
        <w:t>s fees and costs.</w:t>
      </w:r>
      <w:r w:rsidR="00B423C2">
        <w:t>"</w:t>
      </w:r>
      <w:r w:rsidR="007B45D0">
        <w:rPr>
          <w:rStyle w:val="FootnoteReference"/>
        </w:rPr>
        <w:footnoteReference w:id="4"/>
      </w:r>
      <w:r w:rsidR="007B45D0">
        <w:t xml:space="preserve"> </w:t>
      </w:r>
      <w:r w:rsidRPr="006E14F4">
        <w:t xml:space="preserve">The Town </w:t>
      </w:r>
      <w:r w:rsidR="00D43830">
        <w:t xml:space="preserve">responded </w:t>
      </w:r>
      <w:r w:rsidR="00C96189">
        <w:t>with</w:t>
      </w:r>
      <w:r w:rsidRPr="006E14F4">
        <w:t xml:space="preserve"> a demurrer asserting that Hawkins</w:t>
      </w:r>
      <w:r w:rsidR="00B423C2">
        <w:t>'</w:t>
      </w:r>
      <w:r w:rsidR="00C96189">
        <w:t xml:space="preserve"> Petition should be dismissed as he </w:t>
      </w:r>
      <w:r w:rsidRPr="006E14F4">
        <w:t xml:space="preserve">failed to state a cause of action upon which relief could be granted </w:t>
      </w:r>
      <w:r w:rsidR="00C96189">
        <w:t xml:space="preserve">since </w:t>
      </w:r>
      <w:r w:rsidR="007D04AF">
        <w:t xml:space="preserve">the Town fully complied with the provisions of </w:t>
      </w:r>
      <w:r w:rsidR="00310182">
        <w:t>FOIA</w:t>
      </w:r>
      <w:r w:rsidR="007B45D0">
        <w:t>.</w:t>
      </w:r>
      <w:r w:rsidR="007B45D0">
        <w:rPr>
          <w:rStyle w:val="FootnoteReference"/>
        </w:rPr>
        <w:footnoteReference w:id="5"/>
      </w:r>
    </w:p>
    <w:p w14:paraId="712AA9D8" w14:textId="42B31324" w:rsidR="00036F0A" w:rsidRDefault="006E14F4" w:rsidP="006E14F4">
      <w:pPr>
        <w:pStyle w:val="Brieftext"/>
      </w:pPr>
      <w:r w:rsidRPr="006E14F4">
        <w:t xml:space="preserve">At </w:t>
      </w:r>
      <w:r w:rsidR="00EB7466">
        <w:t>the demurrer hearing</w:t>
      </w:r>
      <w:r w:rsidRPr="006E14F4">
        <w:t xml:space="preserve">, the dispute before the circuit court </w:t>
      </w:r>
      <w:r w:rsidR="00036F0A">
        <w:t xml:space="preserve">was reduced </w:t>
      </w:r>
      <w:r w:rsidRPr="006E14F4">
        <w:t>to seven documents</w:t>
      </w:r>
      <w:r w:rsidR="00036F0A">
        <w:t xml:space="preserve"> </w:t>
      </w:r>
      <w:r w:rsidR="000F0B1A">
        <w:t>specifically</w:t>
      </w:r>
      <w:r w:rsidRPr="006E14F4">
        <w:t>.</w:t>
      </w:r>
      <w:r w:rsidR="007B45D0">
        <w:rPr>
          <w:rStyle w:val="FootnoteReference"/>
        </w:rPr>
        <w:footnoteReference w:id="6"/>
      </w:r>
      <w:r w:rsidR="007B45D0">
        <w:t xml:space="preserve"> </w:t>
      </w:r>
      <w:r w:rsidR="00036F0A">
        <w:t xml:space="preserve">The Town argued that </w:t>
      </w:r>
      <w:r w:rsidR="00B05966">
        <w:t xml:space="preserve">these </w:t>
      </w:r>
      <w:r w:rsidRPr="006E14F4">
        <w:t>document</w:t>
      </w:r>
      <w:r w:rsidR="00B05966">
        <w:t>s were</w:t>
      </w:r>
      <w:r w:rsidRPr="006E14F4">
        <w:t xml:space="preserve"> </w:t>
      </w:r>
      <w:r w:rsidR="00036F0A">
        <w:t xml:space="preserve">not subject to release </w:t>
      </w:r>
      <w:r w:rsidRPr="006E14F4">
        <w:t>pursuant to the personnel information exemption set forth in § 2.2-3705.1(1)</w:t>
      </w:r>
      <w:r w:rsidR="00D5344B">
        <w:t xml:space="preserve"> of the Code of Virginia</w:t>
      </w:r>
      <w:r w:rsidRPr="006E14F4">
        <w:t>.</w:t>
      </w:r>
      <w:r w:rsidR="007B45D0">
        <w:rPr>
          <w:rStyle w:val="FootnoteReference"/>
        </w:rPr>
        <w:footnoteReference w:id="7"/>
      </w:r>
      <w:r w:rsidR="007B45D0">
        <w:t xml:space="preserve"> </w:t>
      </w:r>
      <w:r w:rsidR="000F0B1A">
        <w:t xml:space="preserve">The </w:t>
      </w:r>
      <w:r w:rsidR="00792F7B">
        <w:t xml:space="preserve">seven </w:t>
      </w:r>
      <w:r w:rsidR="00036F0A" w:rsidRPr="00036F0A">
        <w:t>document</w:t>
      </w:r>
      <w:r w:rsidR="000F0B1A">
        <w:t>s were:</w:t>
      </w:r>
      <w:r w:rsidR="00B423C2">
        <w:t xml:space="preserve"> (i)</w:t>
      </w:r>
      <w:r w:rsidR="00036F0A" w:rsidRPr="00036F0A">
        <w:t xml:space="preserve"> a dem</w:t>
      </w:r>
      <w:r w:rsidR="00B423C2">
        <w:t>and letter from a Town employee'</w:t>
      </w:r>
      <w:r w:rsidR="00036F0A" w:rsidRPr="00036F0A">
        <w:t xml:space="preserve">s attorney to the Town </w:t>
      </w:r>
      <w:r w:rsidR="00B423C2">
        <w:t>attorney regarding the employee'</w:t>
      </w:r>
      <w:r w:rsidR="00036F0A" w:rsidRPr="00036F0A">
        <w:t>s discrimination co</w:t>
      </w:r>
      <w:r w:rsidR="000F0B1A">
        <w:t>mplaints (</w:t>
      </w:r>
      <w:r w:rsidR="00B423C2">
        <w:t>demand letter</w:t>
      </w:r>
      <w:r w:rsidR="000F0B1A">
        <w:t>);</w:t>
      </w:r>
      <w:r w:rsidR="00B423C2">
        <w:t xml:space="preserve"> (ii)</w:t>
      </w:r>
      <w:r w:rsidR="000F0B1A">
        <w:t xml:space="preserve"> </w:t>
      </w:r>
      <w:r w:rsidR="00036F0A" w:rsidRPr="00036F0A">
        <w:t>a one-page petition</w:t>
      </w:r>
      <w:r w:rsidR="00036F0A">
        <w:t xml:space="preserve"> </w:t>
      </w:r>
      <w:r w:rsidR="00036F0A" w:rsidRPr="00036F0A">
        <w:t xml:space="preserve">to the </w:t>
      </w:r>
      <w:r w:rsidR="00B423C2">
        <w:t>Town'</w:t>
      </w:r>
      <w:r w:rsidR="00036F0A" w:rsidRPr="00036F0A">
        <w:t xml:space="preserve">s personnel committee from seven employees requesting a meeting regarding the Town </w:t>
      </w:r>
      <w:r w:rsidR="00036F0A" w:rsidRPr="00036F0A">
        <w:lastRenderedPageBreak/>
        <w:t>Man</w:t>
      </w:r>
      <w:r w:rsidR="00B423C2">
        <w:t>ager (employee petition</w:t>
      </w:r>
      <w:r w:rsidR="000F0B1A">
        <w:t>);</w:t>
      </w:r>
      <w:r w:rsidR="00B423C2">
        <w:t xml:space="preserve"> (iii)</w:t>
      </w:r>
      <w:r w:rsidR="000F0B1A">
        <w:t xml:space="preserve"> </w:t>
      </w:r>
      <w:r w:rsidR="00036F0A" w:rsidRPr="00036F0A">
        <w:t>an email chain from a</w:t>
      </w:r>
      <w:r w:rsidR="00A804EC">
        <w:t xml:space="preserve"> Town</w:t>
      </w:r>
      <w:r w:rsidR="00036F0A" w:rsidRPr="00036F0A">
        <w:t xml:space="preserve"> employee to the Town Mayor and City Council regarding discipline of that employee </w:t>
      </w:r>
      <w:r w:rsidR="000F0B1A">
        <w:t>(email chain);</w:t>
      </w:r>
      <w:r w:rsidR="00B423C2">
        <w:t xml:space="preserve"> (iv)</w:t>
      </w:r>
      <w:r w:rsidR="000F0B1A">
        <w:t xml:space="preserve"> </w:t>
      </w:r>
      <w:r w:rsidR="00036F0A" w:rsidRPr="00036F0A">
        <w:t>an unsigned document received by the Town Mayor complaining about the Town Manager and Town work environme</w:t>
      </w:r>
      <w:r w:rsidR="000F0B1A">
        <w:t xml:space="preserve">nt (anonymous complaint); </w:t>
      </w:r>
      <w:r w:rsidR="00792F7B">
        <w:t>and</w:t>
      </w:r>
      <w:r w:rsidR="00B423C2">
        <w:t xml:space="preserve"> documents (v)</w:t>
      </w:r>
      <w:r w:rsidR="00792F7B">
        <w:t xml:space="preserve"> through</w:t>
      </w:r>
      <w:r w:rsidR="00B423C2">
        <w:t xml:space="preserve"> (vii)</w:t>
      </w:r>
      <w:r w:rsidR="00036F0A" w:rsidRPr="00036F0A">
        <w:t xml:space="preserve"> were </w:t>
      </w:r>
      <w:r w:rsidR="00792F7B">
        <w:t xml:space="preserve">separate resignation letters from three </w:t>
      </w:r>
      <w:r w:rsidR="00036F0A" w:rsidRPr="00036F0A">
        <w:t>different Town employees (resignation letters).</w:t>
      </w:r>
      <w:r w:rsidR="007B45D0">
        <w:rPr>
          <w:rStyle w:val="FootnoteReference"/>
        </w:rPr>
        <w:footnoteReference w:id="8"/>
      </w:r>
    </w:p>
    <w:p w14:paraId="23589795" w14:textId="003A269A" w:rsidR="007B45D0" w:rsidRDefault="007D04AF" w:rsidP="00780A54">
      <w:pPr>
        <w:pStyle w:val="Brieftext"/>
      </w:pPr>
      <w:r>
        <w:t>The circuit court granted</w:t>
      </w:r>
      <w:r w:rsidR="006E14F4" w:rsidRPr="006E14F4">
        <w:t xml:space="preserve"> the Petition in part.</w:t>
      </w:r>
      <w:r>
        <w:t xml:space="preserve"> </w:t>
      </w:r>
      <w:r w:rsidR="006E14F4" w:rsidRPr="006E14F4">
        <w:t xml:space="preserve">The </w:t>
      </w:r>
      <w:r w:rsidR="00EB7466">
        <w:t xml:space="preserve">circuit </w:t>
      </w:r>
      <w:r w:rsidR="006E14F4" w:rsidRPr="006E14F4">
        <w:t xml:space="preserve">court applied definitions of </w:t>
      </w:r>
      <w:r w:rsidR="00B423C2">
        <w:t>"</w:t>
      </w:r>
      <w:r w:rsidR="006E14F4" w:rsidRPr="006E14F4">
        <w:t>personnel record</w:t>
      </w:r>
      <w:r w:rsidR="00B423C2">
        <w:t>"</w:t>
      </w:r>
      <w:r w:rsidR="006E14F4" w:rsidRPr="006E14F4">
        <w:t xml:space="preserve"> from a previous version of the statute, ins</w:t>
      </w:r>
      <w:r w:rsidR="007B45D0">
        <w:t xml:space="preserve">tead of </w:t>
      </w:r>
      <w:r w:rsidR="00B423C2">
        <w:t>"</w:t>
      </w:r>
      <w:r w:rsidR="007B45D0">
        <w:t>personnel information.</w:t>
      </w:r>
      <w:r w:rsidR="00B423C2">
        <w:t>"</w:t>
      </w:r>
      <w:r w:rsidR="007B45D0">
        <w:rPr>
          <w:rStyle w:val="FootnoteReference"/>
        </w:rPr>
        <w:footnoteReference w:id="9"/>
      </w:r>
      <w:r w:rsidR="006E14F4" w:rsidRPr="006E14F4">
        <w:t xml:space="preserve"> </w:t>
      </w:r>
      <w:r>
        <w:t>The court concluded that:</w:t>
      </w:r>
      <w:r w:rsidR="00B423C2">
        <w:t xml:space="preserve"> (a)</w:t>
      </w:r>
      <w:r>
        <w:t xml:space="preserve"> </w:t>
      </w:r>
      <w:r w:rsidR="006E14F4" w:rsidRPr="006E14F4">
        <w:t>the anonymous complaint wa</w:t>
      </w:r>
      <w:r>
        <w:t>s not exempt from disclosure;</w:t>
      </w:r>
      <w:r w:rsidR="00B423C2">
        <w:t xml:space="preserve"> (b)</w:t>
      </w:r>
      <w:r w:rsidR="006E14F4" w:rsidRPr="006E14F4">
        <w:t xml:space="preserve"> the employee petition was pa</w:t>
      </w:r>
      <w:r>
        <w:t>rtially exempt from disclosure; and</w:t>
      </w:r>
      <w:r w:rsidR="00B423C2">
        <w:t xml:space="preserve"> (c)</w:t>
      </w:r>
      <w:r>
        <w:t xml:space="preserve"> </w:t>
      </w:r>
      <w:r w:rsidR="006E14F4" w:rsidRPr="006E14F4">
        <w:t>the demand letter, email chain, and resignation l</w:t>
      </w:r>
      <w:r w:rsidR="007B45D0">
        <w:t xml:space="preserve">etters were exempt under </w:t>
      </w:r>
      <w:r w:rsidR="00310182">
        <w:t>FOIA</w:t>
      </w:r>
      <w:r w:rsidR="007B45D0">
        <w:t>.</w:t>
      </w:r>
      <w:r w:rsidR="007B45D0">
        <w:rPr>
          <w:rStyle w:val="FootnoteReference"/>
        </w:rPr>
        <w:footnoteReference w:id="10"/>
      </w:r>
      <w:r w:rsidR="007B45D0">
        <w:t xml:space="preserve"> </w:t>
      </w:r>
      <w:r w:rsidR="006E14F4" w:rsidRPr="006E14F4">
        <w:t>The issue</w:t>
      </w:r>
      <w:r w:rsidR="007751E9">
        <w:t>s</w:t>
      </w:r>
      <w:r w:rsidR="006E14F4" w:rsidRPr="006E14F4">
        <w:t xml:space="preserve"> of </w:t>
      </w:r>
      <w:r w:rsidR="007751E9">
        <w:t>whether to award</w:t>
      </w:r>
      <w:r w:rsidR="00D5344B">
        <w:t xml:space="preserve"> attorney</w:t>
      </w:r>
      <w:r w:rsidR="007751E9">
        <w:t xml:space="preserve"> </w:t>
      </w:r>
      <w:r w:rsidR="006E14F4" w:rsidRPr="006E14F4">
        <w:t xml:space="preserve">fees </w:t>
      </w:r>
      <w:r w:rsidR="007751E9">
        <w:t xml:space="preserve">and costs </w:t>
      </w:r>
      <w:r w:rsidR="006E14F4" w:rsidRPr="006E14F4">
        <w:t xml:space="preserve">or whether </w:t>
      </w:r>
      <w:r>
        <w:t>Hawkins substantially prevailed were not addressed by the court</w:t>
      </w:r>
      <w:r w:rsidR="007B45D0">
        <w:t xml:space="preserve">. </w:t>
      </w:r>
      <w:r w:rsidR="007F5304">
        <w:t xml:space="preserve">The court directed </w:t>
      </w:r>
      <w:r w:rsidR="006E14F4" w:rsidRPr="006E14F4">
        <w:t xml:space="preserve">the Town to prepare </w:t>
      </w:r>
      <w:r>
        <w:t xml:space="preserve">the order reflecting the </w:t>
      </w:r>
      <w:r w:rsidR="007F5304">
        <w:t>finding</w:t>
      </w:r>
      <w:r w:rsidR="005C01C2">
        <w:t>s</w:t>
      </w:r>
      <w:r w:rsidR="006E14F4" w:rsidRPr="006E14F4">
        <w:t xml:space="preserve"> because the court </w:t>
      </w:r>
      <w:r w:rsidR="00B423C2">
        <w:t>"</w:t>
      </w:r>
      <w:r w:rsidR="006E14F4" w:rsidRPr="006E14F4">
        <w:t>agreed with the Town</w:t>
      </w:r>
      <w:r w:rsidR="00B423C2">
        <w:t>'</w:t>
      </w:r>
      <w:r w:rsidR="006E14F4" w:rsidRPr="006E14F4">
        <w:t>s positions more than it did not.</w:t>
      </w:r>
      <w:r w:rsidR="00B423C2">
        <w:t>"</w:t>
      </w:r>
      <w:r w:rsidR="007B45D0">
        <w:rPr>
          <w:rStyle w:val="FootnoteReference"/>
        </w:rPr>
        <w:footnoteReference w:id="11"/>
      </w:r>
      <w:r w:rsidR="007B45D0">
        <w:t xml:space="preserve"> </w:t>
      </w:r>
      <w:r w:rsidR="006E14F4">
        <w:t xml:space="preserve">Hawkins </w:t>
      </w:r>
      <w:r>
        <w:t>appealed</w:t>
      </w:r>
      <w:r w:rsidR="00DE0553" w:rsidRPr="00DE0553">
        <w:t xml:space="preserve"> the partial denial of his </w:t>
      </w:r>
      <w:r w:rsidR="00B05966">
        <w:t>Petition</w:t>
      </w:r>
      <w:r w:rsidR="007F5304">
        <w:t xml:space="preserve">, </w:t>
      </w:r>
      <w:r w:rsidR="007F5304" w:rsidRPr="007F5304">
        <w:t>objecting to the denial of mandamus as to five documents</w:t>
      </w:r>
      <w:r w:rsidR="007F5304">
        <w:t>,</w:t>
      </w:r>
      <w:r w:rsidR="00DE0553" w:rsidRPr="00DE0553">
        <w:t xml:space="preserve"> the purported denial of his request f</w:t>
      </w:r>
      <w:r w:rsidR="007F5304">
        <w:t>or</w:t>
      </w:r>
      <w:r w:rsidR="00D5344B">
        <w:t xml:space="preserve"> attorney</w:t>
      </w:r>
      <w:r w:rsidR="007F5304">
        <w:t xml:space="preserve"> fees and costs,</w:t>
      </w:r>
      <w:r w:rsidRPr="007D04AF">
        <w:t xml:space="preserve"> and the court not holding that he was a prevailing party</w:t>
      </w:r>
      <w:r w:rsidR="007B45D0">
        <w:t xml:space="preserve"> under </w:t>
      </w:r>
      <w:r w:rsidR="00310182">
        <w:t>FOIA</w:t>
      </w:r>
      <w:r w:rsidR="007B45D0">
        <w:t>.</w:t>
      </w:r>
      <w:r w:rsidR="007B45D0">
        <w:rPr>
          <w:rStyle w:val="FootnoteReference"/>
        </w:rPr>
        <w:footnoteReference w:id="12"/>
      </w:r>
      <w:r w:rsidR="007F5304">
        <w:t xml:space="preserve"> </w:t>
      </w:r>
    </w:p>
    <w:p w14:paraId="18BBFCE8" w14:textId="52471DD7" w:rsidR="00EB7466" w:rsidRPr="00EB7466" w:rsidRDefault="00EB7466" w:rsidP="00167A67">
      <w:pPr>
        <w:pStyle w:val="BriefHeading2"/>
      </w:pPr>
      <w:r w:rsidRPr="00EB7466">
        <w:t>The Virginia Supreme Court</w:t>
      </w:r>
      <w:r w:rsidR="00B423C2">
        <w:t>'</w:t>
      </w:r>
      <w:r w:rsidRPr="00EB7466">
        <w:t>s Decision</w:t>
      </w:r>
    </w:p>
    <w:p w14:paraId="7EE21895" w14:textId="78DB12FF" w:rsidR="009C6953" w:rsidRDefault="00EB7466" w:rsidP="00EB7466">
      <w:pPr>
        <w:pStyle w:val="Brieftext"/>
      </w:pPr>
      <w:r w:rsidRPr="00EB7466">
        <w:t>The</w:t>
      </w:r>
      <w:r w:rsidR="00605F6C">
        <w:t xml:space="preserve"> Virginia</w:t>
      </w:r>
      <w:r w:rsidRPr="00EB7466">
        <w:t xml:space="preserve"> Supreme Court </w:t>
      </w:r>
      <w:r w:rsidR="009C6953">
        <w:t>determined that this appeal required</w:t>
      </w:r>
      <w:r w:rsidR="00605F6C">
        <w:t xml:space="preserve"> it</w:t>
      </w:r>
      <w:r w:rsidR="009C6953">
        <w:t xml:space="preserve"> to examine</w:t>
      </w:r>
      <w:r>
        <w:t xml:space="preserve"> the scope of the personnel information exemption to </w:t>
      </w:r>
      <w:r w:rsidR="00310182">
        <w:t>FOIA</w:t>
      </w:r>
      <w:r>
        <w:t xml:space="preserve"> and reconcile the competing interests of open access to public records and the privacy expectations of government employees.</w:t>
      </w:r>
      <w:r w:rsidR="009C6953">
        <w:t xml:space="preserve"> In its analysis, the Supreme Court considered the historical basis of the </w:t>
      </w:r>
      <w:r w:rsidR="003C588F">
        <w:t xml:space="preserve">personnel information </w:t>
      </w:r>
      <w:r w:rsidR="009C6953">
        <w:t xml:space="preserve">exemption. </w:t>
      </w:r>
      <w:r w:rsidR="009C6953" w:rsidRPr="009C6953">
        <w:t xml:space="preserve">Since its original inception in 1968, </w:t>
      </w:r>
      <w:r w:rsidR="00310182">
        <w:t>FOIA</w:t>
      </w:r>
      <w:r w:rsidR="009C6953" w:rsidRPr="009C6953">
        <w:t xml:space="preserve"> contained an exemption for </w:t>
      </w:r>
      <w:r w:rsidR="00B423C2">
        <w:t>"</w:t>
      </w:r>
      <w:r w:rsidR="009C6953" w:rsidRPr="009C6953">
        <w:t>personnel records</w:t>
      </w:r>
      <w:r w:rsidR="00B423C2">
        <w:t>"</w:t>
      </w:r>
      <w:r w:rsidR="00081EA2">
        <w:t xml:space="preserve"> that</w:t>
      </w:r>
      <w:r w:rsidR="0049461A">
        <w:t xml:space="preserve"> was </w:t>
      </w:r>
      <w:r w:rsidR="009C6953" w:rsidRPr="009C6953">
        <w:t xml:space="preserve">grouped </w:t>
      </w:r>
      <w:r w:rsidR="0049461A">
        <w:t>into an exemption along with medical,</w:t>
      </w:r>
      <w:r w:rsidR="009C6953" w:rsidRPr="009C6953">
        <w:t xml:space="preserve"> mental </w:t>
      </w:r>
      <w:r w:rsidR="0049461A">
        <w:t>health, and scholastic records.</w:t>
      </w:r>
      <w:r w:rsidR="007B45D0">
        <w:rPr>
          <w:rStyle w:val="FootnoteReference"/>
        </w:rPr>
        <w:footnoteReference w:id="13"/>
      </w:r>
      <w:r w:rsidR="009C6953" w:rsidRPr="009C6953">
        <w:t xml:space="preserve"> Over the years, the </w:t>
      </w:r>
      <w:r w:rsidR="00B423C2">
        <w:t>"</w:t>
      </w:r>
      <w:r w:rsidR="009C6953" w:rsidRPr="009C6953">
        <w:t>personnel records</w:t>
      </w:r>
      <w:r w:rsidR="00B423C2">
        <w:t>"</w:t>
      </w:r>
      <w:r w:rsidR="009C6953" w:rsidRPr="009C6953">
        <w:t xml:space="preserve"> exemption was amended to reflect various opinions of the Attorney General, to the point that </w:t>
      </w:r>
      <w:r w:rsidR="00017528">
        <w:t xml:space="preserve">by 1989 </w:t>
      </w:r>
      <w:r w:rsidR="009C6953" w:rsidRPr="009C6953">
        <w:t xml:space="preserve">the term covered only </w:t>
      </w:r>
      <w:r w:rsidR="00B423C2">
        <w:t>"</w:t>
      </w:r>
      <w:r w:rsidR="009C6953" w:rsidRPr="009C6953">
        <w:t>personnel records containing information concerning</w:t>
      </w:r>
      <w:r w:rsidR="001424CF">
        <w:t xml:space="preserve"> ident</w:t>
      </w:r>
      <w:r w:rsidR="007B45D0">
        <w:t>ifiable individuals.</w:t>
      </w:r>
      <w:r w:rsidR="00B423C2">
        <w:t>"</w:t>
      </w:r>
      <w:r w:rsidR="007B45D0">
        <w:rPr>
          <w:rStyle w:val="FootnoteReference"/>
        </w:rPr>
        <w:footnoteReference w:id="14"/>
      </w:r>
      <w:r w:rsidR="009C6953" w:rsidRPr="009C6953">
        <w:t xml:space="preserve"> </w:t>
      </w:r>
      <w:r w:rsidR="007B45D0">
        <w:t>This</w:t>
      </w:r>
      <w:r w:rsidR="009C6953" w:rsidRPr="009C6953">
        <w:t xml:space="preserve"> </w:t>
      </w:r>
      <w:r w:rsidR="007B45D0">
        <w:t xml:space="preserve">remained </w:t>
      </w:r>
      <w:r w:rsidR="009C6953" w:rsidRPr="009C6953">
        <w:t xml:space="preserve">the standard until 2016, when the Virginia legislature amended </w:t>
      </w:r>
      <w:r w:rsidR="00B423C2">
        <w:t>"</w:t>
      </w:r>
      <w:r w:rsidR="009C6953" w:rsidRPr="009C6953">
        <w:t>personnel</w:t>
      </w:r>
      <w:r w:rsidR="00081EA2">
        <w:rPr>
          <w:i/>
        </w:rPr>
        <w:t xml:space="preserve"> records</w:t>
      </w:r>
      <w:r w:rsidR="009C6953" w:rsidRPr="009C6953">
        <w:t xml:space="preserve"> containing information concerning identifiable individuals</w:t>
      </w:r>
      <w:r w:rsidR="00B423C2">
        <w:t>"</w:t>
      </w:r>
      <w:r w:rsidR="009C6953" w:rsidRPr="009C6953">
        <w:t xml:space="preserve"> to </w:t>
      </w:r>
      <w:r w:rsidR="00B423C2">
        <w:t>"</w:t>
      </w:r>
      <w:r w:rsidR="009C6953" w:rsidRPr="009C6953">
        <w:t xml:space="preserve">personnel </w:t>
      </w:r>
      <w:r w:rsidR="009C6953" w:rsidRPr="003C588F">
        <w:rPr>
          <w:i/>
        </w:rPr>
        <w:t>information</w:t>
      </w:r>
      <w:r w:rsidR="009C6953" w:rsidRPr="009C6953">
        <w:t xml:space="preserve"> concerning identifiable individuals</w:t>
      </w:r>
      <w:r w:rsidR="00B423C2">
        <w:t>"</w:t>
      </w:r>
      <w:r w:rsidR="009C6953" w:rsidRPr="009C6953">
        <w:t xml:space="preserve"> and </w:t>
      </w:r>
      <w:r w:rsidR="0038325B">
        <w:t>provided a</w:t>
      </w:r>
      <w:r w:rsidR="007B45D0">
        <w:t xml:space="preserve"> definition for</w:t>
      </w:r>
      <w:r w:rsidR="009C6953" w:rsidRPr="009C6953">
        <w:t xml:space="preserve"> </w:t>
      </w:r>
      <w:r w:rsidR="00B423C2">
        <w:t>"</w:t>
      </w:r>
      <w:r w:rsidR="009C6953" w:rsidRPr="009C6953">
        <w:t>information.</w:t>
      </w:r>
      <w:r w:rsidR="00B423C2">
        <w:t>"</w:t>
      </w:r>
      <w:r w:rsidR="0038325B">
        <w:rPr>
          <w:rStyle w:val="FootnoteReference"/>
        </w:rPr>
        <w:footnoteReference w:id="15"/>
      </w:r>
      <w:r w:rsidR="009C6953" w:rsidRPr="009C6953">
        <w:t xml:space="preserve"> </w:t>
      </w:r>
      <w:r w:rsidR="006F1E3F">
        <w:t>The Supreme Court concluded that b</w:t>
      </w:r>
      <w:r w:rsidR="009C6953" w:rsidRPr="009C6953">
        <w:t xml:space="preserve">y enacting a right of redaction provision and limiting the exemption to </w:t>
      </w:r>
      <w:r w:rsidR="00B423C2">
        <w:t>"</w:t>
      </w:r>
      <w:r w:rsidR="009C6953" w:rsidRPr="009C6953">
        <w:t>information</w:t>
      </w:r>
      <w:r w:rsidR="00B423C2">
        <w:t>"</w:t>
      </w:r>
      <w:r w:rsidR="009C6953" w:rsidRPr="009C6953">
        <w:t xml:space="preserve"> instead of the entirety of a public record, the General Assembly demonstrated its intent to narrow the exception and </w:t>
      </w:r>
      <w:r w:rsidR="0038325B">
        <w:t>provide for partial disclosure.</w:t>
      </w:r>
      <w:r w:rsidR="0038325B">
        <w:rPr>
          <w:rStyle w:val="FootnoteReference"/>
        </w:rPr>
        <w:footnoteReference w:id="16"/>
      </w:r>
      <w:r w:rsidR="009C6953" w:rsidRPr="009C6953">
        <w:t xml:space="preserve"> </w:t>
      </w:r>
    </w:p>
    <w:p w14:paraId="42D61732" w14:textId="69851A5E" w:rsidR="00CA2729" w:rsidRDefault="00110C57" w:rsidP="00EB7466">
      <w:pPr>
        <w:pStyle w:val="Brieftext"/>
      </w:pPr>
      <w:r>
        <w:t>T</w:t>
      </w:r>
      <w:r w:rsidRPr="00110C57">
        <w:t>he Supreme Court delved into the current legal status of the personnel information exemption for public employees</w:t>
      </w:r>
      <w:r w:rsidR="007C18A7">
        <w:t>.</w:t>
      </w:r>
      <w:r w:rsidR="00D5344B">
        <w:t xml:space="preserve"> Section</w:t>
      </w:r>
      <w:r w:rsidR="007751E9" w:rsidRPr="007751E9">
        <w:t xml:space="preserve"> 2.2-3705.1(1)</w:t>
      </w:r>
      <w:r w:rsidR="00D5344B">
        <w:t xml:space="preserve"> of the Code of Virginia</w:t>
      </w:r>
      <w:r w:rsidR="007751E9" w:rsidRPr="007751E9">
        <w:t xml:space="preserve"> exempts </w:t>
      </w:r>
      <w:r w:rsidR="00B423C2">
        <w:t>"</w:t>
      </w:r>
      <w:r w:rsidR="007751E9" w:rsidRPr="007751E9">
        <w:t>[p]ersonnel information concerning identifiable individuals</w:t>
      </w:r>
      <w:r w:rsidR="00B423C2">
        <w:t>"</w:t>
      </w:r>
      <w:r w:rsidR="007751E9" w:rsidRPr="007751E9">
        <w:t xml:space="preserve"> from disclosure. </w:t>
      </w:r>
      <w:r w:rsidR="007751E9">
        <w:t xml:space="preserve">However, </w:t>
      </w:r>
      <w:r w:rsidR="00310182">
        <w:t>FOIA</w:t>
      </w:r>
      <w:r w:rsidR="007751E9" w:rsidRPr="007751E9">
        <w:t xml:space="preserve"> does not define </w:t>
      </w:r>
      <w:r w:rsidR="00B423C2">
        <w:t>"</w:t>
      </w:r>
      <w:r w:rsidR="007751E9" w:rsidRPr="007751E9">
        <w:t>personnel information.</w:t>
      </w:r>
      <w:r w:rsidR="00B423C2">
        <w:t>"</w:t>
      </w:r>
      <w:r w:rsidR="007751E9" w:rsidRPr="007751E9">
        <w:t xml:space="preserve"> </w:t>
      </w:r>
      <w:r w:rsidR="007751E9">
        <w:t>After analysis of statutory canons of constru</w:t>
      </w:r>
      <w:r w:rsidR="007C18A7">
        <w:t xml:space="preserve">ction, legislative history, </w:t>
      </w:r>
      <w:r w:rsidR="007751E9">
        <w:t>intent,</w:t>
      </w:r>
      <w:r w:rsidR="00D5344B">
        <w:t xml:space="preserve"> federal</w:t>
      </w:r>
      <w:r w:rsidR="007C18A7">
        <w:t xml:space="preserve"> FOIA, and other</w:t>
      </w:r>
      <w:r w:rsidR="00081EA2">
        <w:t xml:space="preserve"> states'</w:t>
      </w:r>
      <w:r w:rsidR="007C18A7">
        <w:t xml:space="preserve"> use of similar </w:t>
      </w:r>
      <w:r w:rsidR="007D204F">
        <w:t>personne</w:t>
      </w:r>
      <w:r w:rsidR="0038325B">
        <w:t>l information</w:t>
      </w:r>
      <w:r w:rsidR="00081EA2">
        <w:t xml:space="preserve"> </w:t>
      </w:r>
      <w:r w:rsidR="00081EA2">
        <w:lastRenderedPageBreak/>
        <w:t>exemptions</w:t>
      </w:r>
      <w:r w:rsidR="007C18A7">
        <w:t>,</w:t>
      </w:r>
      <w:r w:rsidR="007751E9">
        <w:t xml:space="preserve"> t</w:t>
      </w:r>
      <w:r w:rsidR="006F1E3F">
        <w:t>he</w:t>
      </w:r>
      <w:r w:rsidR="00C225E7">
        <w:t xml:space="preserve"> Supreme Court de</w:t>
      </w:r>
      <w:r w:rsidR="007751E9">
        <w:t>termined</w:t>
      </w:r>
      <w:r w:rsidR="00EB7466">
        <w:t xml:space="preserve"> </w:t>
      </w:r>
      <w:r w:rsidR="00B423C2">
        <w:t>"</w:t>
      </w:r>
      <w:r w:rsidR="00EB7466">
        <w:t>personnel information</w:t>
      </w:r>
      <w:r w:rsidR="00B423C2">
        <w:t>"</w:t>
      </w:r>
      <w:r w:rsidR="00EB7466">
        <w:t xml:space="preserve"> to mean </w:t>
      </w:r>
      <w:r w:rsidR="00B423C2">
        <w:t>"</w:t>
      </w:r>
      <w:r w:rsidR="00EB7466">
        <w:t>data, facts, or statements within a public record relating to a specific government employee, which are in the possession of the entity solely because of the individual</w:t>
      </w:r>
      <w:r w:rsidR="00B423C2">
        <w:t>'</w:t>
      </w:r>
      <w:r w:rsidR="00EB7466">
        <w:t>s employment relationship with the entity, and are private, but for the individual</w:t>
      </w:r>
      <w:r w:rsidR="00B423C2">
        <w:t>'</w:t>
      </w:r>
      <w:r w:rsidR="00EB7466">
        <w:t>s employment with the entity.</w:t>
      </w:r>
      <w:r w:rsidR="00B423C2">
        <w:t>"</w:t>
      </w:r>
      <w:r w:rsidR="0038325B">
        <w:rPr>
          <w:rStyle w:val="FootnoteReference"/>
        </w:rPr>
        <w:footnoteReference w:id="17"/>
      </w:r>
    </w:p>
    <w:p w14:paraId="2A44B7CD" w14:textId="18E79EA0" w:rsidR="00110C57" w:rsidRDefault="00110C57" w:rsidP="00EB7466">
      <w:pPr>
        <w:pStyle w:val="Brieftext"/>
      </w:pPr>
      <w:r>
        <w:t xml:space="preserve">The Supreme Court </w:t>
      </w:r>
      <w:r w:rsidR="001424CF">
        <w:t xml:space="preserve">further </w:t>
      </w:r>
      <w:r>
        <w:t>acknowledges that the</w:t>
      </w:r>
      <w:r w:rsidR="007751E9" w:rsidRPr="007751E9">
        <w:t xml:space="preserve"> definition is </w:t>
      </w:r>
      <w:r w:rsidR="00B423C2">
        <w:t>"</w:t>
      </w:r>
      <w:r w:rsidR="007751E9" w:rsidRPr="007751E9">
        <w:t>narrowly limited to those employed by the government and does not encompass any individual whose information merely happens to appear in a public record.</w:t>
      </w:r>
      <w:r w:rsidR="00B423C2">
        <w:t>"</w:t>
      </w:r>
      <w:r w:rsidR="0038325B">
        <w:rPr>
          <w:rStyle w:val="FootnoteReference"/>
        </w:rPr>
        <w:footnoteReference w:id="18"/>
      </w:r>
      <w:r w:rsidR="0038325B">
        <w:t xml:space="preserve"> </w:t>
      </w:r>
      <w:r w:rsidR="0090679D" w:rsidRPr="0090679D">
        <w:t xml:space="preserve">In addition, the Supreme Court, when discussing the </w:t>
      </w:r>
      <w:r w:rsidR="00B423C2">
        <w:t>"</w:t>
      </w:r>
      <w:r w:rsidR="0090679D" w:rsidRPr="0090679D">
        <w:t>pe</w:t>
      </w:r>
      <w:r w:rsidR="0090679D">
        <w:t>rsonnel information</w:t>
      </w:r>
      <w:r w:rsidR="00B423C2">
        <w:t>"</w:t>
      </w:r>
      <w:r w:rsidR="0090679D">
        <w:t xml:space="preserve"> exemption, </w:t>
      </w:r>
      <w:r w:rsidR="0090679D" w:rsidRPr="0090679D">
        <w:t xml:space="preserve">recognized that </w:t>
      </w:r>
      <w:r w:rsidR="00B423C2">
        <w:t>"</w:t>
      </w:r>
      <w:r w:rsidR="0090679D" w:rsidRPr="0090679D">
        <w:t>the only content exempt from disclosure is that which is tied to the employment of the individual in some way, and which otherwise would not be</w:t>
      </w:r>
      <w:r w:rsidR="0090679D">
        <w:t xml:space="preserve"> disclosed to the employer.</w:t>
      </w:r>
      <w:r w:rsidR="00B423C2">
        <w:t>"</w:t>
      </w:r>
      <w:r w:rsidR="0090679D">
        <w:rPr>
          <w:rStyle w:val="FootnoteReference"/>
        </w:rPr>
        <w:footnoteReference w:id="19"/>
      </w:r>
      <w:r w:rsidR="0090679D">
        <w:t xml:space="preserve"> </w:t>
      </w:r>
      <w:r>
        <w:t>Moreover,</w:t>
      </w:r>
      <w:r w:rsidR="007751E9" w:rsidRPr="007751E9">
        <w:t xml:space="preserve"> </w:t>
      </w:r>
      <w:r>
        <w:t>this interpretation</w:t>
      </w:r>
      <w:r w:rsidR="007751E9" w:rsidRPr="007751E9">
        <w:t xml:space="preserve"> </w:t>
      </w:r>
      <w:r w:rsidR="00B423C2">
        <w:t>"</w:t>
      </w:r>
      <w:r w:rsidR="007751E9" w:rsidRPr="007751E9">
        <w:t>furthers the stated goal of ensuring public access to government business conducted by employees of that government.</w:t>
      </w:r>
      <w:r w:rsidR="00B423C2">
        <w:t>"</w:t>
      </w:r>
      <w:r w:rsidR="0090679D">
        <w:rPr>
          <w:rStyle w:val="FootnoteReference"/>
        </w:rPr>
        <w:footnoteReference w:id="20"/>
      </w:r>
    </w:p>
    <w:p w14:paraId="294BF6C3" w14:textId="78684E01" w:rsidR="00AF3949" w:rsidRDefault="00AF3949" w:rsidP="00EB7466">
      <w:pPr>
        <w:pStyle w:val="Brieftext"/>
      </w:pPr>
      <w:r>
        <w:t xml:space="preserve">While acknowledging that </w:t>
      </w:r>
      <w:r w:rsidRPr="00AF3949">
        <w:t xml:space="preserve">the </w:t>
      </w:r>
      <w:r w:rsidR="00B423C2">
        <w:t>"'</w:t>
      </w:r>
      <w:r>
        <w:t>personnel information</w:t>
      </w:r>
      <w:r w:rsidR="00B423C2">
        <w:t>'</w:t>
      </w:r>
      <w:r>
        <w:t xml:space="preserve"> exemption, like the </w:t>
      </w:r>
      <w:r w:rsidR="00B423C2">
        <w:t>'</w:t>
      </w:r>
      <w:r>
        <w:t>personnel record</w:t>
      </w:r>
      <w:r w:rsidR="00B423C2">
        <w:t>'</w:t>
      </w:r>
      <w:r w:rsidRPr="00AF3949">
        <w:t xml:space="preserve"> exemption before it, is a </w:t>
      </w:r>
      <w:r w:rsidR="00B423C2">
        <w:t>'</w:t>
      </w:r>
      <w:r w:rsidRPr="00AF3949">
        <w:t>privacy-based exemption, designed to protect the subject of the record from the dissemination of personal information</w:t>
      </w:r>
      <w:r w:rsidR="00C64712">
        <w:t>,</w:t>
      </w:r>
      <w:r w:rsidR="00B423C2">
        <w:t>'"</w:t>
      </w:r>
      <w:r>
        <w:t xml:space="preserve"> </w:t>
      </w:r>
      <w:r w:rsidR="00C64712">
        <w:t>t</w:t>
      </w:r>
      <w:r>
        <w:t>he Supreme Court refused to</w:t>
      </w:r>
      <w:r w:rsidRPr="00AF3949">
        <w:t xml:space="preserve"> </w:t>
      </w:r>
      <w:r>
        <w:t xml:space="preserve">determine </w:t>
      </w:r>
      <w:r w:rsidRPr="00AF3949">
        <w:t>which specific pi</w:t>
      </w:r>
      <w:r>
        <w:t>eces of information are private</w:t>
      </w:r>
      <w:r w:rsidR="0090679D">
        <w:t>.</w:t>
      </w:r>
      <w:r w:rsidR="0090679D">
        <w:rPr>
          <w:rStyle w:val="FootnoteReference"/>
        </w:rPr>
        <w:footnoteReference w:id="21"/>
      </w:r>
      <w:r w:rsidR="00C64712">
        <w:t xml:space="preserve"> As a substitut</w:t>
      </w:r>
      <w:r w:rsidR="00DC16B8">
        <w:t>e</w:t>
      </w:r>
      <w:r w:rsidR="00C64712">
        <w:t xml:space="preserve">, the Supreme Court advocated for an </w:t>
      </w:r>
      <w:r w:rsidRPr="00AF3949">
        <w:t xml:space="preserve">objective test </w:t>
      </w:r>
      <w:r w:rsidR="00C64712">
        <w:t xml:space="preserve">which provides </w:t>
      </w:r>
      <w:r w:rsidR="00B423C2">
        <w:t>"</w:t>
      </w:r>
      <w:r w:rsidRPr="00AF3949">
        <w:t xml:space="preserve">that data, facts, and statements are private if their </w:t>
      </w:r>
      <w:r w:rsidR="00C64712">
        <w:t xml:space="preserve">disclosure would constitute an </w:t>
      </w:r>
      <w:r w:rsidR="00B423C2">
        <w:t>'</w:t>
      </w:r>
      <w:r w:rsidRPr="00AF3949">
        <w:t>unwarrant</w:t>
      </w:r>
      <w:r w:rsidR="00C64712">
        <w:t>ed invasion of personal privacy</w:t>
      </w:r>
      <w:r w:rsidR="00B423C2">
        <w:t>'</w:t>
      </w:r>
      <w:r w:rsidRPr="00AF3949">
        <w:t xml:space="preserve"> to a reasonable person under the circumstances.</w:t>
      </w:r>
      <w:r w:rsidR="00B423C2">
        <w:t>"</w:t>
      </w:r>
      <w:r w:rsidR="0090679D">
        <w:rPr>
          <w:rStyle w:val="FootnoteReference"/>
        </w:rPr>
        <w:footnoteReference w:id="22"/>
      </w:r>
      <w:r w:rsidR="00DC16B8" w:rsidRPr="00DC16B8">
        <w:t xml:space="preserve"> </w:t>
      </w:r>
      <w:r w:rsidR="00DC16B8">
        <w:t>Furthermore</w:t>
      </w:r>
      <w:r w:rsidR="00DC16B8" w:rsidRPr="00DC16B8">
        <w:t xml:space="preserve">, the </w:t>
      </w:r>
      <w:r w:rsidR="00DC16B8">
        <w:t xml:space="preserve">Supreme Court </w:t>
      </w:r>
      <w:r w:rsidR="000C53E8">
        <w:t xml:space="preserve">did not specifically clarify </w:t>
      </w:r>
      <w:r w:rsidR="00DC16B8" w:rsidRPr="00DC16B8">
        <w:t>what co</w:t>
      </w:r>
      <w:r w:rsidR="00DC16B8">
        <w:t>ntent qualifies as private</w:t>
      </w:r>
      <w:r w:rsidR="000C53E8">
        <w:t xml:space="preserve"> but pointed out that such a determination is </w:t>
      </w:r>
      <w:r w:rsidR="00DC16B8" w:rsidRPr="00DC16B8">
        <w:t>require</w:t>
      </w:r>
      <w:r w:rsidR="000C53E8">
        <w:t>d with</w:t>
      </w:r>
      <w:r w:rsidR="00DC16B8" w:rsidRPr="00DC16B8">
        <w:t xml:space="preserve">in </w:t>
      </w:r>
      <w:r w:rsidR="00B423C2">
        <w:t>"</w:t>
      </w:r>
      <w:r w:rsidR="00DC16B8" w:rsidRPr="00DC16B8">
        <w:t>the context of each case</w:t>
      </w:r>
      <w:r w:rsidR="00DC16B8">
        <w:t>.</w:t>
      </w:r>
      <w:r w:rsidR="00B423C2">
        <w:t>"</w:t>
      </w:r>
      <w:r w:rsidR="0090679D">
        <w:rPr>
          <w:rStyle w:val="FootnoteReference"/>
        </w:rPr>
        <w:footnoteReference w:id="23"/>
      </w:r>
    </w:p>
    <w:p w14:paraId="62464EA9" w14:textId="4B82BA09" w:rsidR="00C705FB" w:rsidRDefault="00C705FB" w:rsidP="00EB7466">
      <w:pPr>
        <w:pStyle w:val="Brieftext"/>
      </w:pPr>
      <w:r w:rsidRPr="00C705FB">
        <w:t>The Supreme Court found that the circuit court erred in its interpretation and application of the personnel information exem</w:t>
      </w:r>
      <w:r w:rsidR="0090679D">
        <w:t>ption under § 2.2-3705.1(1)</w:t>
      </w:r>
      <w:r w:rsidR="00081EA2">
        <w:t xml:space="preserve"> of the Code of Virginia</w:t>
      </w:r>
      <w:r w:rsidR="0090679D">
        <w:t>.</w:t>
      </w:r>
      <w:r w:rsidR="0090679D">
        <w:rPr>
          <w:rStyle w:val="FootnoteReference"/>
        </w:rPr>
        <w:footnoteReference w:id="24"/>
      </w:r>
      <w:r w:rsidR="006F1E3F" w:rsidRPr="006F1E3F">
        <w:t xml:space="preserve"> </w:t>
      </w:r>
      <w:r w:rsidRPr="00C705FB">
        <w:t>The Supreme Court reversed the decision of the circuit court regarding the anonymous complaint, the employee petition, the demand letter,</w:t>
      </w:r>
      <w:r w:rsidR="00AD21F9">
        <w:t xml:space="preserve"> the</w:t>
      </w:r>
      <w:r w:rsidRPr="00C705FB">
        <w:t xml:space="preserve"> email chain, and</w:t>
      </w:r>
      <w:r w:rsidR="00F9062B">
        <w:t xml:space="preserve"> the</w:t>
      </w:r>
      <w:r w:rsidRPr="00C705FB">
        <w:t xml:space="preserve"> resignation letters. The circuit court considered these documents to be </w:t>
      </w:r>
      <w:r>
        <w:t xml:space="preserve">exempt, or partially exempt, </w:t>
      </w:r>
      <w:r w:rsidRPr="00C705FB">
        <w:t xml:space="preserve">under </w:t>
      </w:r>
      <w:r w:rsidR="00310182">
        <w:t>FOIA</w:t>
      </w:r>
      <w:r w:rsidR="00F9062B">
        <w:t>.</w:t>
      </w:r>
    </w:p>
    <w:p w14:paraId="3E448F99" w14:textId="56B78C5A" w:rsidR="006F1E3F" w:rsidRDefault="000C53E8" w:rsidP="00EB7466">
      <w:pPr>
        <w:pStyle w:val="Brieftext"/>
      </w:pPr>
      <w:r>
        <w:t xml:space="preserve">Nevertheless, the Supreme Court did not entirely condemn the </w:t>
      </w:r>
      <w:r w:rsidR="00C705FB">
        <w:t xml:space="preserve">analysis </w:t>
      </w:r>
      <w:r>
        <w:t>of the circuit court.</w:t>
      </w:r>
      <w:r w:rsidR="00C705FB">
        <w:t xml:space="preserve"> T</w:t>
      </w:r>
      <w:r>
        <w:t>he Supreme Court held that the lower court correctly applied the requirements of § 2.2-3704.1</w:t>
      </w:r>
      <w:r w:rsidR="00AD21F9">
        <w:t xml:space="preserve"> of the Code of Virginia</w:t>
      </w:r>
      <w:r>
        <w:t xml:space="preserve"> regarding the allowance</w:t>
      </w:r>
      <w:r w:rsidR="0036014A">
        <w:t xml:space="preserve"> for redactions of</w:t>
      </w:r>
      <w:r w:rsidRPr="000C53E8">
        <w:t xml:space="preserve"> partially exempt documents</w:t>
      </w:r>
      <w:r>
        <w:t>. Moreover, the Supreme Court held that the circuit</w:t>
      </w:r>
      <w:r w:rsidRPr="000C53E8">
        <w:t xml:space="preserve"> court </w:t>
      </w:r>
      <w:r>
        <w:t xml:space="preserve">was </w:t>
      </w:r>
      <w:r w:rsidRPr="000C53E8">
        <w:t xml:space="preserve">in </w:t>
      </w:r>
      <w:r>
        <w:t xml:space="preserve">the best position to assess exactly </w:t>
      </w:r>
      <w:r w:rsidR="00B423C2">
        <w:t>"</w:t>
      </w:r>
      <w:r w:rsidRPr="000C53E8">
        <w:t>what is priv</w:t>
      </w:r>
      <w:r w:rsidR="00C705FB">
        <w:t>ate in the context of this case.</w:t>
      </w:r>
      <w:r w:rsidR="00B423C2">
        <w:t>"</w:t>
      </w:r>
      <w:r w:rsidR="0090679D">
        <w:rPr>
          <w:rStyle w:val="FootnoteReference"/>
        </w:rPr>
        <w:footnoteReference w:id="25"/>
      </w:r>
      <w:r w:rsidR="00C705FB">
        <w:t xml:space="preserve"> </w:t>
      </w:r>
      <w:r w:rsidR="00C705FB" w:rsidRPr="00C705FB">
        <w:t xml:space="preserve">The Supreme Court remanded this matter back to the circuit court for further consideration </w:t>
      </w:r>
      <w:r w:rsidR="0036014A">
        <w:t>in light of the Supreme Court</w:t>
      </w:r>
      <w:r w:rsidR="00B423C2">
        <w:t>'</w:t>
      </w:r>
      <w:r w:rsidR="0036014A">
        <w:t xml:space="preserve">s guidance provided in this opinion </w:t>
      </w:r>
      <w:r w:rsidR="00B423C2">
        <w:t>"</w:t>
      </w:r>
      <w:r w:rsidR="0036014A">
        <w:t xml:space="preserve">on what constitutes </w:t>
      </w:r>
      <w:r w:rsidR="00B423C2">
        <w:t>'</w:t>
      </w:r>
      <w:r w:rsidR="00C705FB" w:rsidRPr="00C705FB">
        <w:t>personnel information</w:t>
      </w:r>
      <w:r w:rsidR="00B423C2">
        <w:t>'</w:t>
      </w:r>
      <w:r w:rsidR="0036014A">
        <w:t xml:space="preserve"> under </w:t>
      </w:r>
      <w:r w:rsidR="00017528">
        <w:t>[</w:t>
      </w:r>
      <w:r w:rsidR="00310182">
        <w:t>FOIA</w:t>
      </w:r>
      <w:r w:rsidR="00017528">
        <w:t>]</w:t>
      </w:r>
      <w:r w:rsidR="0036014A">
        <w:t>.</w:t>
      </w:r>
      <w:r w:rsidR="00B423C2">
        <w:t>"</w:t>
      </w:r>
      <w:r w:rsidR="0090679D">
        <w:rPr>
          <w:rStyle w:val="FootnoteReference"/>
        </w:rPr>
        <w:footnoteReference w:id="26"/>
      </w:r>
    </w:p>
    <w:p w14:paraId="77A922F1" w14:textId="6DA0B42C" w:rsidR="005C01C2" w:rsidRDefault="00C705FB" w:rsidP="00EB7466">
      <w:pPr>
        <w:pStyle w:val="Brieftext"/>
      </w:pPr>
      <w:r w:rsidRPr="00C705FB">
        <w:t xml:space="preserve">The Supreme Court affirmed the </w:t>
      </w:r>
      <w:r w:rsidR="0036014A">
        <w:t xml:space="preserve">circuit </w:t>
      </w:r>
      <w:r w:rsidRPr="00C705FB">
        <w:t>court</w:t>
      </w:r>
      <w:r w:rsidR="00B423C2">
        <w:t>'</w:t>
      </w:r>
      <w:r w:rsidRPr="00C705FB">
        <w:t xml:space="preserve">s ruling on </w:t>
      </w:r>
      <w:r w:rsidR="009C2C47">
        <w:t>awarding</w:t>
      </w:r>
      <w:r w:rsidR="00AD21F9">
        <w:t xml:space="preserve"> attorney</w:t>
      </w:r>
      <w:r w:rsidRPr="00C705FB">
        <w:t xml:space="preserve"> fees and costs and whether Hawkin</w:t>
      </w:r>
      <w:r w:rsidR="0090679D">
        <w:t xml:space="preserve">s </w:t>
      </w:r>
      <w:r w:rsidR="00B423C2">
        <w:t>"</w:t>
      </w:r>
      <w:r w:rsidR="0090679D">
        <w:t>substantially prevailed</w:t>
      </w:r>
      <w:r w:rsidR="00AD21F9">
        <w:t>.</w:t>
      </w:r>
      <w:r w:rsidR="00B423C2">
        <w:t>"</w:t>
      </w:r>
      <w:r w:rsidR="0090679D">
        <w:rPr>
          <w:rStyle w:val="FootnoteReference"/>
        </w:rPr>
        <w:footnoteReference w:id="27"/>
      </w:r>
      <w:r w:rsidR="0090679D">
        <w:t xml:space="preserve"> </w:t>
      </w:r>
      <w:r w:rsidR="006F1E3F">
        <w:t>Subsection D of</w:t>
      </w:r>
      <w:r w:rsidR="006F1E3F" w:rsidRPr="006F1E3F">
        <w:t xml:space="preserve"> § 2.2-3713</w:t>
      </w:r>
      <w:r w:rsidR="00AD21F9">
        <w:t xml:space="preserve"> of the Code of </w:t>
      </w:r>
      <w:r w:rsidR="00AD21F9">
        <w:lastRenderedPageBreak/>
        <w:t>Virginia</w:t>
      </w:r>
      <w:r w:rsidR="006F1E3F">
        <w:t xml:space="preserve"> provides </w:t>
      </w:r>
      <w:r w:rsidR="009C2C47">
        <w:t>for the recovery of</w:t>
      </w:r>
      <w:r w:rsidR="00AD21F9">
        <w:t xml:space="preserve"> attorney</w:t>
      </w:r>
      <w:r w:rsidR="006F1E3F" w:rsidRPr="006F1E3F">
        <w:t xml:space="preserve"> fees </w:t>
      </w:r>
      <w:r w:rsidR="009C2C47">
        <w:t xml:space="preserve">and costs </w:t>
      </w:r>
      <w:r w:rsidR="006F1E3F" w:rsidRPr="006F1E3F">
        <w:t>when (1) a court finds that</w:t>
      </w:r>
      <w:r w:rsidR="00A85B0F">
        <w:t xml:space="preserve"> the denial of the request was </w:t>
      </w:r>
      <w:r w:rsidR="00B423C2">
        <w:t>"</w:t>
      </w:r>
      <w:r w:rsidR="00A85B0F">
        <w:t>in violation of the provisions</w:t>
      </w:r>
      <w:r w:rsidR="00B423C2">
        <w:t>"</w:t>
      </w:r>
      <w:r w:rsidR="00A85B0F">
        <w:t xml:space="preserve"> of </w:t>
      </w:r>
      <w:r w:rsidR="00310182">
        <w:t>FOIA</w:t>
      </w:r>
      <w:r w:rsidR="00A85B0F">
        <w:t xml:space="preserve"> and (2) a party </w:t>
      </w:r>
      <w:r w:rsidR="00B423C2">
        <w:t>"</w:t>
      </w:r>
      <w:r w:rsidR="006F1E3F" w:rsidRPr="006F1E3F">
        <w:t>substantially prevai</w:t>
      </w:r>
      <w:r w:rsidR="00A85B0F">
        <w:t>ls on the merits of the case.</w:t>
      </w:r>
      <w:r w:rsidR="00B423C2">
        <w:t>"</w:t>
      </w:r>
      <w:r w:rsidR="00476BB2" w:rsidRPr="00476BB2">
        <w:t xml:space="preserve"> </w:t>
      </w:r>
      <w:r w:rsidR="00234EB9">
        <w:t>The circuit court did not address the awarding of</w:t>
      </w:r>
      <w:r w:rsidR="00AD21F9">
        <w:t xml:space="preserve"> attorney</w:t>
      </w:r>
      <w:r w:rsidR="00234EB9">
        <w:t xml:space="preserve"> fees or costs to Hawkins. </w:t>
      </w:r>
      <w:r w:rsidR="00476BB2" w:rsidRPr="00476BB2">
        <w:t xml:space="preserve">The </w:t>
      </w:r>
      <w:r w:rsidR="00A85B0F">
        <w:t>court</w:t>
      </w:r>
      <w:r w:rsidR="00B423C2">
        <w:t>'</w:t>
      </w:r>
      <w:r w:rsidR="00A85B0F">
        <w:t xml:space="preserve">s only reference to whether either </w:t>
      </w:r>
      <w:r w:rsidR="00476BB2" w:rsidRPr="00476BB2">
        <w:t xml:space="preserve">party prevailed was </w:t>
      </w:r>
      <w:r w:rsidR="00A85B0F">
        <w:t>the</w:t>
      </w:r>
      <w:r w:rsidR="00476BB2" w:rsidRPr="00476BB2">
        <w:t xml:space="preserve"> </w:t>
      </w:r>
      <w:r w:rsidR="00234EB9">
        <w:t xml:space="preserve">circuit </w:t>
      </w:r>
      <w:r w:rsidR="00476BB2" w:rsidRPr="00476BB2">
        <w:t>court</w:t>
      </w:r>
      <w:r w:rsidR="00B423C2">
        <w:t>'</w:t>
      </w:r>
      <w:r w:rsidR="00476BB2" w:rsidRPr="00476BB2">
        <w:t xml:space="preserve">s request that the Town draft the final order because </w:t>
      </w:r>
      <w:r w:rsidR="00B423C2">
        <w:t>"</w:t>
      </w:r>
      <w:r w:rsidR="00476BB2" w:rsidRPr="00476BB2">
        <w:t>[t]he Court agreed with the Town</w:t>
      </w:r>
      <w:r w:rsidR="00B423C2">
        <w:t>'</w:t>
      </w:r>
      <w:r w:rsidR="00476BB2" w:rsidRPr="00476BB2">
        <w:t xml:space="preserve">s </w:t>
      </w:r>
      <w:r w:rsidR="00476BB2">
        <w:t>position more than it did not.</w:t>
      </w:r>
      <w:r w:rsidR="00B423C2">
        <w:t>"</w:t>
      </w:r>
      <w:r w:rsidR="0090679D">
        <w:rPr>
          <w:rStyle w:val="FootnoteReference"/>
        </w:rPr>
        <w:footnoteReference w:id="28"/>
      </w:r>
      <w:r w:rsidR="00476BB2">
        <w:t xml:space="preserve"> </w:t>
      </w:r>
      <w:r w:rsidR="00476BB2" w:rsidRPr="00476BB2">
        <w:t xml:space="preserve">This </w:t>
      </w:r>
      <w:r w:rsidR="00234EB9">
        <w:t xml:space="preserve">information </w:t>
      </w:r>
      <w:r w:rsidR="009C2C47">
        <w:t xml:space="preserve">undermines </w:t>
      </w:r>
      <w:r w:rsidR="00476BB2">
        <w:t>a</w:t>
      </w:r>
      <w:r w:rsidR="009C2C47">
        <w:t>n</w:t>
      </w:r>
      <w:r w:rsidR="00476BB2">
        <w:t xml:space="preserve"> argument from</w:t>
      </w:r>
      <w:r w:rsidR="00476BB2" w:rsidRPr="00476BB2">
        <w:t xml:space="preserve"> Hawkins </w:t>
      </w:r>
      <w:r w:rsidR="00476BB2">
        <w:t xml:space="preserve">that he </w:t>
      </w:r>
      <w:r w:rsidR="00CD6D99">
        <w:t>substantially prevailed</w:t>
      </w:r>
      <w:r w:rsidR="00476BB2" w:rsidRPr="00476BB2">
        <w:t xml:space="preserve"> </w:t>
      </w:r>
      <w:r w:rsidR="00476BB2">
        <w:t>in this matter</w:t>
      </w:r>
      <w:r w:rsidR="00476BB2" w:rsidRPr="00476BB2">
        <w:t>.</w:t>
      </w:r>
      <w:r w:rsidR="00476BB2">
        <w:t xml:space="preserve"> </w:t>
      </w:r>
      <w:r w:rsidR="009C2C47">
        <w:t xml:space="preserve">In addition, </w:t>
      </w:r>
      <w:r w:rsidR="00476BB2" w:rsidRPr="00476BB2">
        <w:t xml:space="preserve">Hawkins failed to obtain a ruling </w:t>
      </w:r>
      <w:r w:rsidR="00C225E7">
        <w:t xml:space="preserve">by the circuit court </w:t>
      </w:r>
      <w:r w:rsidR="00476BB2" w:rsidRPr="00476BB2">
        <w:t xml:space="preserve">on the prevailing party issue </w:t>
      </w:r>
      <w:r w:rsidR="00234EB9">
        <w:t>or the issue of</w:t>
      </w:r>
      <w:r w:rsidR="00AD21F9">
        <w:t xml:space="preserve"> attorney</w:t>
      </w:r>
      <w:r w:rsidR="00234EB9">
        <w:t xml:space="preserve"> fees</w:t>
      </w:r>
      <w:r w:rsidR="009C2C47">
        <w:t xml:space="preserve"> and costs</w:t>
      </w:r>
      <w:r w:rsidR="00C225E7">
        <w:t>,</w:t>
      </w:r>
      <w:r w:rsidR="009C2C47">
        <w:t xml:space="preserve"> and</w:t>
      </w:r>
      <w:r w:rsidR="00C225E7">
        <w:t xml:space="preserve"> he</w:t>
      </w:r>
      <w:r w:rsidR="00476BB2" w:rsidRPr="00476BB2">
        <w:t xml:space="preserve"> endorsed the </w:t>
      </w:r>
      <w:r w:rsidR="009C2C47">
        <w:t xml:space="preserve">final </w:t>
      </w:r>
      <w:r w:rsidR="00476BB2" w:rsidRPr="00476BB2">
        <w:t xml:space="preserve">order with objections but did not request the circuit court </w:t>
      </w:r>
      <w:r w:rsidR="0036014A">
        <w:t xml:space="preserve">to </w:t>
      </w:r>
      <w:r w:rsidR="00476BB2" w:rsidRPr="00476BB2">
        <w:t>revise its</w:t>
      </w:r>
      <w:r w:rsidR="00CD6D99">
        <w:t xml:space="preserve"> order</w:t>
      </w:r>
      <w:r w:rsidR="0036014A">
        <w:t>s</w:t>
      </w:r>
      <w:r w:rsidR="0090679D">
        <w:t xml:space="preserve"> to address either issue.</w:t>
      </w:r>
      <w:r w:rsidR="0090679D">
        <w:rPr>
          <w:rStyle w:val="FootnoteReference"/>
        </w:rPr>
        <w:footnoteReference w:id="29"/>
      </w:r>
      <w:r w:rsidR="009C2C47">
        <w:t xml:space="preserve"> </w:t>
      </w:r>
      <w:r w:rsidR="00C225E7">
        <w:t>Since the</w:t>
      </w:r>
      <w:r w:rsidR="006F1E3F" w:rsidRPr="006F1E3F">
        <w:t xml:space="preserve"> circuit court made no ruling on</w:t>
      </w:r>
      <w:r w:rsidR="00AD21F9">
        <w:t xml:space="preserve"> attorney</w:t>
      </w:r>
      <w:r w:rsidR="006F1E3F" w:rsidRPr="006F1E3F">
        <w:t xml:space="preserve"> fees </w:t>
      </w:r>
      <w:r w:rsidR="009C2C47">
        <w:t xml:space="preserve">and costs </w:t>
      </w:r>
      <w:r w:rsidR="006F1E3F" w:rsidRPr="006F1E3F">
        <w:t>or on whether H</w:t>
      </w:r>
      <w:r w:rsidR="00476BB2">
        <w:t xml:space="preserve">awkins </w:t>
      </w:r>
      <w:r w:rsidR="00B423C2">
        <w:t>"</w:t>
      </w:r>
      <w:r w:rsidR="00476BB2">
        <w:t>substantially prevailed</w:t>
      </w:r>
      <w:r w:rsidR="00B423C2">
        <w:t>"</w:t>
      </w:r>
      <w:r w:rsidR="006F1E3F" w:rsidRPr="006F1E3F">
        <w:t xml:space="preserve"> </w:t>
      </w:r>
      <w:r w:rsidR="00476BB2">
        <w:t>in the</w:t>
      </w:r>
      <w:r w:rsidR="00C225E7">
        <w:t xml:space="preserve"> initial opinion or final order, </w:t>
      </w:r>
      <w:r w:rsidR="00476BB2">
        <w:t>the Supreme Court found</w:t>
      </w:r>
      <w:r w:rsidR="00476BB2" w:rsidRPr="00476BB2">
        <w:t xml:space="preserve"> there is no ruling to address on appeal and consequently affirm</w:t>
      </w:r>
      <w:r w:rsidR="00CD6D99">
        <w:t>ed</w:t>
      </w:r>
      <w:r w:rsidR="00476BB2" w:rsidRPr="00476BB2">
        <w:t xml:space="preserve"> the circuit court on both </w:t>
      </w:r>
      <w:r w:rsidR="00234EB9">
        <w:t>issues</w:t>
      </w:r>
      <w:r w:rsidR="00476BB2" w:rsidRPr="00476BB2">
        <w:t>.</w:t>
      </w:r>
      <w:r w:rsidR="0090679D">
        <w:rPr>
          <w:rStyle w:val="FootnoteReference"/>
        </w:rPr>
        <w:footnoteReference w:id="30"/>
      </w:r>
    </w:p>
    <w:p w14:paraId="2EAE5D3B" w14:textId="77777777" w:rsidR="00EB7466" w:rsidRPr="00EB7466" w:rsidRDefault="002F4596" w:rsidP="00167A67">
      <w:pPr>
        <w:pStyle w:val="BriefHeading2"/>
      </w:pPr>
      <w:r>
        <w:t>Impact of Decision and Conclusion</w:t>
      </w:r>
    </w:p>
    <w:p w14:paraId="723B66A3" w14:textId="492CE81B" w:rsidR="008E4B66" w:rsidRDefault="008E4B66" w:rsidP="00780A54">
      <w:pPr>
        <w:pStyle w:val="Brieftext"/>
      </w:pPr>
      <w:r>
        <w:t>Th</w:t>
      </w:r>
      <w:r w:rsidR="002F4596">
        <w:t>e</w:t>
      </w:r>
      <w:r>
        <w:t xml:space="preserve"> decision </w:t>
      </w:r>
      <w:r w:rsidR="002F4596">
        <w:t xml:space="preserve">in the </w:t>
      </w:r>
      <w:r w:rsidR="002F4596" w:rsidRPr="002F4596">
        <w:rPr>
          <w:i/>
        </w:rPr>
        <w:t xml:space="preserve">Hawkins v. South Hill </w:t>
      </w:r>
      <w:r w:rsidR="002F4596">
        <w:t xml:space="preserve">case </w:t>
      </w:r>
      <w:r>
        <w:t>establishes</w:t>
      </w:r>
      <w:r w:rsidR="00684A91">
        <w:t xml:space="preserve"> </w:t>
      </w:r>
      <w:r>
        <w:t xml:space="preserve">precedent </w:t>
      </w:r>
      <w:r w:rsidR="002F4596">
        <w:t>as to</w:t>
      </w:r>
      <w:r>
        <w:t xml:space="preserve"> </w:t>
      </w:r>
      <w:r w:rsidRPr="008E4B66">
        <w:t xml:space="preserve">what may be protected as </w:t>
      </w:r>
      <w:r w:rsidR="00B423C2">
        <w:t>"</w:t>
      </w:r>
      <w:r w:rsidRPr="008E4B66">
        <w:t>perso</w:t>
      </w:r>
      <w:r>
        <w:t>nnel information</w:t>
      </w:r>
      <w:r w:rsidR="00B423C2">
        <w:t>"</w:t>
      </w:r>
      <w:r>
        <w:t xml:space="preserve"> </w:t>
      </w:r>
      <w:r w:rsidR="0037786B">
        <w:t xml:space="preserve">for public employees </w:t>
      </w:r>
      <w:r>
        <w:t xml:space="preserve">under </w:t>
      </w:r>
      <w:r w:rsidR="00310182">
        <w:t>FOIA</w:t>
      </w:r>
      <w:r w:rsidRPr="008E4B66">
        <w:t>.</w:t>
      </w:r>
      <w:r>
        <w:t xml:space="preserve"> </w:t>
      </w:r>
      <w:r w:rsidR="0090679D">
        <w:t>Subsection B of § 2.2-3700</w:t>
      </w:r>
      <w:r w:rsidR="00AD21F9">
        <w:t xml:space="preserve"> of the Code of Virginia</w:t>
      </w:r>
      <w:r w:rsidR="0090679D">
        <w:t xml:space="preserve"> provides that the </w:t>
      </w:r>
      <w:r w:rsidR="007C18A7" w:rsidRPr="007C18A7">
        <w:t xml:space="preserve">provisions of </w:t>
      </w:r>
      <w:r w:rsidR="00310182">
        <w:t>FOIA</w:t>
      </w:r>
      <w:r w:rsidR="007C18A7" w:rsidRPr="007C18A7">
        <w:t xml:space="preserve"> </w:t>
      </w:r>
      <w:r w:rsidR="00B423C2">
        <w:t>"</w:t>
      </w:r>
      <w:r w:rsidR="007C18A7" w:rsidRPr="007C18A7">
        <w:t>shall be liberally construed to promote an increased awareness by all persons of governmental activities and afford every opportunity to citizens to witness the operations of government.</w:t>
      </w:r>
      <w:r w:rsidR="00B423C2">
        <w:t>"</w:t>
      </w:r>
      <w:r w:rsidR="00BB0417">
        <w:t xml:space="preserve"> Subsection B of</w:t>
      </w:r>
      <w:r w:rsidR="00CA2729">
        <w:t xml:space="preserve"> </w:t>
      </w:r>
      <w:r w:rsidR="0090679D" w:rsidRPr="0090679D">
        <w:t>§ 2.2-3700</w:t>
      </w:r>
      <w:r w:rsidR="0090679D">
        <w:t xml:space="preserve"> </w:t>
      </w:r>
      <w:r w:rsidR="00CA2729">
        <w:t xml:space="preserve">also </w:t>
      </w:r>
      <w:r w:rsidR="0090679D">
        <w:t xml:space="preserve">provides that </w:t>
      </w:r>
      <w:r w:rsidR="00B423C2">
        <w:t>"</w:t>
      </w:r>
      <w:r w:rsidR="0090679D">
        <w:t>[a]</w:t>
      </w:r>
      <w:r w:rsidR="007C18A7" w:rsidRPr="007C18A7">
        <w:t xml:space="preserve">ny exemption from public access to records </w:t>
      </w:r>
      <w:r w:rsidR="0090679D">
        <w:t xml:space="preserve">or meetings </w:t>
      </w:r>
      <w:r w:rsidR="007C18A7" w:rsidRPr="007C18A7">
        <w:t>shall be narrowly construed and no record shall be withheld unless specifically made exempt pursuant to this chapter</w:t>
      </w:r>
      <w:r>
        <w:t xml:space="preserve"> or other specific provision of law.</w:t>
      </w:r>
      <w:r w:rsidR="00B423C2">
        <w:t>"</w:t>
      </w:r>
    </w:p>
    <w:p w14:paraId="6BDD82FC" w14:textId="28705B33" w:rsidR="007C18A7" w:rsidRDefault="008E4B66" w:rsidP="00780A54">
      <w:pPr>
        <w:pStyle w:val="Brieftext"/>
      </w:pPr>
      <w:r>
        <w:t xml:space="preserve">In the context of </w:t>
      </w:r>
      <w:r w:rsidR="00310182">
        <w:t>FOIA</w:t>
      </w:r>
      <w:r w:rsidR="007C18A7" w:rsidRPr="007C18A7">
        <w:t xml:space="preserve">, </w:t>
      </w:r>
      <w:r>
        <w:t>the Supreme Court</w:t>
      </w:r>
      <w:r w:rsidR="00684A91">
        <w:t xml:space="preserve"> </w:t>
      </w:r>
      <w:r>
        <w:t xml:space="preserve">determined </w:t>
      </w:r>
      <w:r w:rsidR="002F4596" w:rsidRPr="002F4596">
        <w:t xml:space="preserve">in this case </w:t>
      </w:r>
      <w:r w:rsidR="002F4596">
        <w:t>that t</w:t>
      </w:r>
      <w:r w:rsidR="007C18A7" w:rsidRPr="007C18A7">
        <w:t xml:space="preserve">he meaning of personnel most clearly intended by the legislature is </w:t>
      </w:r>
      <w:r w:rsidR="00B423C2">
        <w:t>"</w:t>
      </w:r>
      <w:r w:rsidR="002C65E9">
        <w:t>'</w:t>
      </w:r>
      <w:r w:rsidR="007C18A7" w:rsidRPr="007C18A7">
        <w:t>a body of persons employed in some service</w:t>
      </w:r>
      <w:r w:rsidR="002C65E9">
        <w:t>'</w:t>
      </w:r>
      <w:r w:rsidR="007C18A7" w:rsidRPr="007C18A7">
        <w:t xml:space="preserve"> or government employees.</w:t>
      </w:r>
      <w:r w:rsidR="00B423C2">
        <w:t>"</w:t>
      </w:r>
      <w:r>
        <w:rPr>
          <w:rStyle w:val="FootnoteReference"/>
        </w:rPr>
        <w:footnoteReference w:id="31"/>
      </w:r>
      <w:r w:rsidR="007C18A7" w:rsidRPr="007C18A7">
        <w:t xml:space="preserve"> This definition is narrowly limited to those employed by the government and does not encompass any individual whose information merely happens to appear in a public record</w:t>
      </w:r>
      <w:r>
        <w:t>.</w:t>
      </w:r>
      <w:r>
        <w:rPr>
          <w:rStyle w:val="FootnoteReference"/>
        </w:rPr>
        <w:footnoteReference w:id="32"/>
      </w:r>
      <w:r w:rsidR="002F4596">
        <w:t xml:space="preserve"> Furthermore,</w:t>
      </w:r>
      <w:r w:rsidR="009A43F5">
        <w:t xml:space="preserve"> "personnel</w:t>
      </w:r>
      <w:r w:rsidR="002F4596">
        <w:t xml:space="preserve"> </w:t>
      </w:r>
      <w:r w:rsidR="00545D05">
        <w:t>information</w:t>
      </w:r>
      <w:bookmarkStart w:id="0" w:name="_GoBack"/>
      <w:bookmarkEnd w:id="0"/>
      <w:r w:rsidR="009A43F5">
        <w:t>"</w:t>
      </w:r>
      <w:r w:rsidR="002F4596">
        <w:t xml:space="preserve"> was </w:t>
      </w:r>
      <w:r w:rsidR="00545D05">
        <w:t>determined to mean</w:t>
      </w:r>
      <w:r w:rsidR="00545D05" w:rsidRPr="00545D05">
        <w:t xml:space="preserve"> </w:t>
      </w:r>
      <w:r w:rsidR="00B423C2">
        <w:t>"</w:t>
      </w:r>
      <w:r w:rsidR="00545D05" w:rsidRPr="00545D05">
        <w:t>data, facts, and statements</w:t>
      </w:r>
      <w:r w:rsidR="009A43F5">
        <w:t xml:space="preserve"> [that]</w:t>
      </w:r>
      <w:r w:rsidR="00545D05">
        <w:t xml:space="preserve"> </w:t>
      </w:r>
      <w:r w:rsidR="00545D05" w:rsidRPr="00545D05">
        <w:t xml:space="preserve">are private if their disclosure would constitute an </w:t>
      </w:r>
      <w:r w:rsidR="00B423C2">
        <w:t>'</w:t>
      </w:r>
      <w:r w:rsidR="00545D05" w:rsidRPr="00545D05">
        <w:t>unwarranted invasion of personal privacy</w:t>
      </w:r>
      <w:r w:rsidR="00B423C2">
        <w:t>'</w:t>
      </w:r>
      <w:r w:rsidR="00545D05" w:rsidRPr="00545D05">
        <w:t xml:space="preserve"> to a reasonable person under the circumstances.</w:t>
      </w:r>
      <w:r w:rsidR="00B423C2">
        <w:t>"</w:t>
      </w:r>
      <w:r w:rsidR="00545D05">
        <w:rPr>
          <w:rStyle w:val="FootnoteReference"/>
        </w:rPr>
        <w:footnoteReference w:id="33"/>
      </w:r>
    </w:p>
    <w:p w14:paraId="043BC10B" w14:textId="4DEAA3EE" w:rsidR="00545D05" w:rsidRDefault="00CA2729" w:rsidP="00780A54">
      <w:pPr>
        <w:pStyle w:val="Brieftext"/>
      </w:pPr>
      <w:r>
        <w:t xml:space="preserve">The Supreme Court left the determination of whether information was private to be examined individually </w:t>
      </w:r>
      <w:r w:rsidRPr="00CA2729">
        <w:t xml:space="preserve">within </w:t>
      </w:r>
      <w:r w:rsidR="00B423C2">
        <w:t>"</w:t>
      </w:r>
      <w:r w:rsidRPr="00CA2729">
        <w:t>the context of each case.</w:t>
      </w:r>
      <w:r w:rsidR="00B423C2">
        <w:t>"</w:t>
      </w:r>
      <w:r w:rsidR="0037786B">
        <w:rPr>
          <w:rStyle w:val="FootnoteReference"/>
        </w:rPr>
        <w:footnoteReference w:id="34"/>
      </w:r>
      <w:r>
        <w:t xml:space="preserve"> </w:t>
      </w:r>
      <w:r w:rsidR="00F4339B">
        <w:t>The Supreme Court remanded this matter back to the circuit court to apply the guidance provided in this decision to the specific facts of this case for determination of whether the five documents (</w:t>
      </w:r>
      <w:r w:rsidR="00F4339B" w:rsidRPr="00F4339B">
        <w:t>the anonymous complaint, the employee petition, the demand letter,</w:t>
      </w:r>
      <w:r w:rsidR="00AD21F9">
        <w:t xml:space="preserve"> the</w:t>
      </w:r>
      <w:r w:rsidR="00F4339B" w:rsidRPr="00F4339B">
        <w:t xml:space="preserve"> email chain, and</w:t>
      </w:r>
      <w:r w:rsidR="00AD21F9">
        <w:t xml:space="preserve"> the</w:t>
      </w:r>
      <w:r w:rsidR="00F4339B" w:rsidRPr="00F4339B">
        <w:t xml:space="preserve"> resignation letters</w:t>
      </w:r>
      <w:r w:rsidR="00F4339B">
        <w:t>) in dispute should be released or withheld by</w:t>
      </w:r>
      <w:r w:rsidR="002C65E9">
        <w:t xml:space="preserve"> the</w:t>
      </w:r>
      <w:r w:rsidR="00F4339B">
        <w:t xml:space="preserve"> Town. Therefore, the ultimate impact of this decision is </w:t>
      </w:r>
      <w:r w:rsidR="00752020">
        <w:t xml:space="preserve">currently </w:t>
      </w:r>
      <w:r w:rsidR="00F4339B">
        <w:t xml:space="preserve">pending until the circuit court </w:t>
      </w:r>
      <w:r w:rsidR="00752020">
        <w:t>issues a ruling</w:t>
      </w:r>
      <w:r w:rsidR="00F4339B">
        <w:t xml:space="preserve"> on exactly which information, if any, may be protected or must be released pursu</w:t>
      </w:r>
      <w:r w:rsidR="00AD21F9">
        <w:t>ant to the provisions of FOIA.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2511" w:rsidRPr="000E403A" w14:paraId="016880D2" w14:textId="77777777" w:rsidTr="00476BB2">
        <w:tc>
          <w:tcPr>
            <w:tcW w:w="9350" w:type="dxa"/>
            <w:gridSpan w:val="2"/>
            <w:tcBorders>
              <w:bottom w:val="single" w:sz="4" w:space="0" w:color="00602B"/>
            </w:tcBorders>
          </w:tcPr>
          <w:p w14:paraId="03698037" w14:textId="77777777" w:rsidR="003A2511" w:rsidRDefault="003A2511" w:rsidP="00476BB2">
            <w:pPr>
              <w:pStyle w:val="SummaryDate"/>
              <w:spacing w:before="0"/>
            </w:pPr>
          </w:p>
        </w:tc>
      </w:tr>
      <w:tr w:rsidR="003A2511" w14:paraId="4A46CE53" w14:textId="77777777" w:rsidTr="00476BB2">
        <w:tc>
          <w:tcPr>
            <w:tcW w:w="9350" w:type="dxa"/>
            <w:gridSpan w:val="2"/>
            <w:tcBorders>
              <w:top w:val="single" w:sz="4" w:space="0" w:color="00602B"/>
            </w:tcBorders>
          </w:tcPr>
          <w:p w14:paraId="2122ACAB" w14:textId="77777777" w:rsidR="003A2511" w:rsidRDefault="003A2511" w:rsidP="003A2511">
            <w:pPr>
              <w:pStyle w:val="Briefcontactinfo"/>
            </w:pPr>
            <w:r>
              <w:t>For more information, contact the Division of Legislative Services staff:</w:t>
            </w:r>
          </w:p>
        </w:tc>
      </w:tr>
      <w:tr w:rsidR="003A2511" w14:paraId="11B599A2" w14:textId="77777777" w:rsidTr="00476BB2">
        <w:tc>
          <w:tcPr>
            <w:tcW w:w="4675" w:type="dxa"/>
            <w:tcBorders>
              <w:bottom w:val="single" w:sz="4" w:space="0" w:color="00602B"/>
            </w:tcBorders>
          </w:tcPr>
          <w:p w14:paraId="19661FF5" w14:textId="38FAE5B1" w:rsidR="003A2511" w:rsidRDefault="007D204F" w:rsidP="00476BB2">
            <w:pPr>
              <w:pStyle w:val="Briefcontactinfo"/>
              <w:keepNext/>
            </w:pPr>
            <w:sdt>
              <w:sdtPr>
                <w:id w:val="2126121267"/>
                <w:placeholder>
                  <w:docPart w:val="13CDA0EB411340AEB1545F5F0249B436"/>
                </w:placeholder>
              </w:sdtPr>
              <w:sdtEndPr/>
              <w:sdtContent>
                <w:r w:rsidR="00CC3641" w:rsidRPr="00CC3641">
                  <w:t>Alan Gernhardt</w:t>
                </w:r>
                <w:r w:rsidR="00AF6B9C">
                  <w:t xml:space="preserve">, Executive Director, </w:t>
                </w:r>
                <w:r w:rsidR="00CC3641" w:rsidRPr="00CC3641">
                  <w:t>FOIA Council</w:t>
                </w:r>
              </w:sdtContent>
            </w:sdt>
            <w:r w:rsidR="002C65E9">
              <w:t>, DLS</w:t>
            </w:r>
          </w:p>
          <w:p w14:paraId="7DE4B50B" w14:textId="77777777" w:rsidR="003A2511" w:rsidRDefault="007D204F" w:rsidP="00476BB2">
            <w:pPr>
              <w:pStyle w:val="Briefcontactinfo"/>
              <w:keepNext/>
              <w:spacing w:before="0"/>
            </w:pPr>
            <w:sdt>
              <w:sdtPr>
                <w:id w:val="605000211"/>
                <w:placeholder>
                  <w:docPart w:val="072264817B2447BABE2F8FA09F40333E"/>
                </w:placeholder>
                <w:text/>
              </w:sdtPr>
              <w:sdtEndPr/>
              <w:sdtContent>
                <w:r w:rsidR="00CC3641">
                  <w:t>agernhardt</w:t>
                </w:r>
              </w:sdtContent>
            </w:sdt>
            <w:r w:rsidR="003A2511">
              <w:t>@dls.virginia.gov</w:t>
            </w:r>
          </w:p>
          <w:p w14:paraId="4A026C4B" w14:textId="77777777" w:rsidR="003A2511" w:rsidRDefault="003A2511" w:rsidP="00CC3641">
            <w:pPr>
              <w:pStyle w:val="Briefcontactinfo"/>
              <w:keepNext/>
              <w:spacing w:before="0" w:after="120"/>
            </w:pPr>
            <w:r>
              <w:t>804-698-</w:t>
            </w:r>
            <w:sdt>
              <w:sdtPr>
                <w:id w:val="1165359602"/>
                <w:placeholder>
                  <w:docPart w:val="8755CDC40E3441ADB76EDDC5C9B949EC"/>
                </w:placeholder>
                <w:text/>
              </w:sdtPr>
              <w:sdtEndPr/>
              <w:sdtContent>
                <w:r w:rsidR="00CC3641">
                  <w:t>1810</w:t>
                </w:r>
              </w:sdtContent>
            </w:sdt>
          </w:p>
        </w:tc>
        <w:tc>
          <w:tcPr>
            <w:tcW w:w="4675" w:type="dxa"/>
            <w:tcBorders>
              <w:bottom w:val="single" w:sz="4" w:space="0" w:color="00602B"/>
            </w:tcBorders>
          </w:tcPr>
          <w:p w14:paraId="5A01587B" w14:textId="34EBDD74" w:rsidR="003A2511" w:rsidRDefault="007D204F" w:rsidP="00476BB2">
            <w:pPr>
              <w:pStyle w:val="Briefcontactinfo"/>
              <w:keepNext/>
            </w:pPr>
            <w:sdt>
              <w:sdtPr>
                <w:id w:val="479652525"/>
                <w:placeholder>
                  <w:docPart w:val="FB78141BBE174670A34D334A96855F94"/>
                </w:placeholder>
              </w:sdtPr>
              <w:sdtEndPr/>
              <w:sdtContent>
                <w:r w:rsidR="00CC3641">
                  <w:t>Jose</w:t>
                </w:r>
                <w:r w:rsidR="00AF6B9C">
                  <w:t xml:space="preserve">ph Underwood Senior Counsel, </w:t>
                </w:r>
                <w:r w:rsidR="00CC3641">
                  <w:t>FOIA Council</w:t>
                </w:r>
              </w:sdtContent>
            </w:sdt>
            <w:r w:rsidR="002C65E9">
              <w:t>, DLS</w:t>
            </w:r>
          </w:p>
          <w:p w14:paraId="00AC3B5B" w14:textId="77777777" w:rsidR="003A2511" w:rsidRDefault="007D204F" w:rsidP="00476BB2">
            <w:pPr>
              <w:pStyle w:val="Briefcontactinfo"/>
              <w:keepNext/>
              <w:spacing w:before="0"/>
            </w:pPr>
            <w:sdt>
              <w:sdtPr>
                <w:id w:val="1351376816"/>
                <w:placeholder>
                  <w:docPart w:val="5E0FEF5ED7AA43768E5F032E5BB6521B"/>
                </w:placeholder>
                <w:text/>
              </w:sdtPr>
              <w:sdtEndPr/>
              <w:sdtContent>
                <w:r w:rsidR="00CC3641">
                  <w:t>junderwood</w:t>
                </w:r>
              </w:sdtContent>
            </w:sdt>
            <w:r w:rsidR="003A2511">
              <w:t>@dls.virginia.gov</w:t>
            </w:r>
          </w:p>
          <w:p w14:paraId="6A6DCF46" w14:textId="77777777" w:rsidR="003A2511" w:rsidRDefault="003A2511" w:rsidP="00CC3641">
            <w:pPr>
              <w:pStyle w:val="Briefcontactinfo"/>
              <w:spacing w:before="0" w:after="120"/>
            </w:pPr>
            <w:r>
              <w:t>804-698-</w:t>
            </w:r>
            <w:sdt>
              <w:sdtPr>
                <w:id w:val="1070159599"/>
                <w:placeholder>
                  <w:docPart w:val="240EB47223F445BD82091936675C03E3"/>
                </w:placeholder>
                <w:text/>
              </w:sdtPr>
              <w:sdtEndPr/>
              <w:sdtContent>
                <w:r w:rsidR="00CC3641">
                  <w:t>1811</w:t>
                </w:r>
              </w:sdtContent>
            </w:sdt>
          </w:p>
        </w:tc>
      </w:tr>
    </w:tbl>
    <w:p w14:paraId="7ED39BB0" w14:textId="77777777" w:rsidR="0064018E" w:rsidRDefault="0064018E" w:rsidP="00C75C2F">
      <w:pPr>
        <w:pStyle w:val="Brieftext"/>
        <w:spacing w:before="0"/>
      </w:pPr>
    </w:p>
    <w:sectPr w:rsidR="0064018E" w:rsidSect="00A854B9">
      <w:footerReference w:type="even" r:id="rId8"/>
      <w:footerReference w:type="default" r:id="rId9"/>
      <w:headerReference w:type="first" r:id="rId10"/>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14020" w14:textId="77777777" w:rsidR="0095496C" w:rsidRDefault="0095496C" w:rsidP="0054526B">
      <w:pPr>
        <w:spacing w:after="0" w:line="240" w:lineRule="auto"/>
      </w:pPr>
      <w:r>
        <w:separator/>
      </w:r>
    </w:p>
    <w:p w14:paraId="3425E743" w14:textId="77777777" w:rsidR="0095496C" w:rsidRDefault="0095496C"/>
  </w:endnote>
  <w:endnote w:type="continuationSeparator" w:id="0">
    <w:p w14:paraId="1F617FB0" w14:textId="77777777" w:rsidR="0095496C" w:rsidRDefault="0095496C" w:rsidP="0054526B">
      <w:pPr>
        <w:spacing w:after="0" w:line="240" w:lineRule="auto"/>
      </w:pPr>
      <w:r>
        <w:continuationSeparator/>
      </w:r>
    </w:p>
    <w:p w14:paraId="7A6C33CA" w14:textId="77777777" w:rsidR="0095496C" w:rsidRDefault="0095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87AB" w14:textId="0A197684" w:rsidR="003C588F" w:rsidRPr="00BB5054" w:rsidRDefault="003C588F" w:rsidP="00C75C2F">
    <w:pPr>
      <w:pStyle w:val="Brieftext"/>
      <w:tabs>
        <w:tab w:val="clear" w:pos="360"/>
        <w:tab w:val="right" w:pos="9990"/>
      </w:tabs>
      <w:spacing w:before="480"/>
      <w:ind w:right="-630" w:firstLine="0"/>
      <w:jc w:val="right"/>
      <w:rPr>
        <w:rFonts w:ascii="Garamond" w:hAnsi="Garamond"/>
      </w:rPr>
    </w:pPr>
    <w:r w:rsidRPr="00EA0983">
      <w:rPr>
        <w:rFonts w:ascii="Garamond" w:hAnsi="Garamond"/>
        <w:noProof/>
      </w:rPr>
      <w:drawing>
        <wp:anchor distT="36576" distB="36576" distL="36576" distR="36576" simplePos="0" relativeHeight="251665408" behindDoc="0" locked="0" layoutInCell="1" allowOverlap="1" wp14:anchorId="32A7EB7C" wp14:editId="6F01AF9D">
          <wp:simplePos x="0" y="0"/>
          <wp:positionH relativeFrom="column">
            <wp:posOffset>3197225</wp:posOffset>
          </wp:positionH>
          <wp:positionV relativeFrom="paragraph">
            <wp:posOffset>233045</wp:posOffset>
          </wp:positionV>
          <wp:extent cx="611950" cy="292100"/>
          <wp:effectExtent l="0" t="0" r="0" b="0"/>
          <wp:wrapNone/>
          <wp:docPr id="5" name="Picture 5" descr="logo new cap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ew cap only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50" cy="29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A0983">
      <w:rPr>
        <w:rFonts w:ascii="Garamond" w:hAnsi="Garamond"/>
      </w:rPr>
      <w:t xml:space="preserve">Page </w:t>
    </w:r>
    <w:r w:rsidRPr="00EA0983">
      <w:rPr>
        <w:rFonts w:ascii="Garamond" w:hAnsi="Garamond"/>
      </w:rPr>
      <w:fldChar w:fldCharType="begin"/>
    </w:r>
    <w:r w:rsidRPr="00EA0983">
      <w:rPr>
        <w:rFonts w:ascii="Garamond" w:hAnsi="Garamond"/>
      </w:rPr>
      <w:instrText xml:space="preserve"> PAGE  \* Arabic  \* MERGEFORMAT </w:instrText>
    </w:r>
    <w:r w:rsidRPr="00EA0983">
      <w:rPr>
        <w:rFonts w:ascii="Garamond" w:hAnsi="Garamond"/>
      </w:rPr>
      <w:fldChar w:fldCharType="separate"/>
    </w:r>
    <w:r w:rsidR="007D204F">
      <w:rPr>
        <w:rFonts w:ascii="Garamond" w:hAnsi="Garamond"/>
        <w:noProof/>
      </w:rPr>
      <w:t>4</w:t>
    </w:r>
    <w:r w:rsidRPr="00EA0983">
      <w:rPr>
        <w:rFonts w:ascii="Garamond" w:hAnsi="Garamond"/>
      </w:rPr>
      <w:fldChar w:fldCharType="end"/>
    </w:r>
    <w:r w:rsidRPr="00EA0983">
      <w:rPr>
        <w:rFonts w:ascii="Garamond" w:hAnsi="Garamond"/>
      </w:rPr>
      <w:t xml:space="preserve"> of </w:t>
    </w:r>
    <w:r w:rsidRPr="00EA0983">
      <w:rPr>
        <w:rFonts w:ascii="Garamond" w:hAnsi="Garamond"/>
      </w:rPr>
      <w:fldChar w:fldCharType="begin"/>
    </w:r>
    <w:r w:rsidRPr="00EA0983">
      <w:rPr>
        <w:rFonts w:ascii="Garamond" w:hAnsi="Garamond"/>
      </w:rPr>
      <w:instrText xml:space="preserve"> NUMPAGES  \* Arabic  \* MERGEFORMAT </w:instrText>
    </w:r>
    <w:r w:rsidRPr="00EA0983">
      <w:rPr>
        <w:rFonts w:ascii="Garamond" w:hAnsi="Garamond"/>
      </w:rPr>
      <w:fldChar w:fldCharType="separate"/>
    </w:r>
    <w:r w:rsidR="007D204F">
      <w:rPr>
        <w:rFonts w:ascii="Garamond" w:hAnsi="Garamond"/>
        <w:noProof/>
      </w:rPr>
      <w:t>5</w:t>
    </w:r>
    <w:r w:rsidRPr="00EA0983">
      <w:rPr>
        <w:rFonts w:ascii="Garamond" w:hAnsi="Garamond"/>
        <w:noProof/>
      </w:rPr>
      <w:fldChar w:fldCharType="end"/>
    </w:r>
    <w:r>
      <w:rPr>
        <w:rFonts w:ascii="Garamond" w:hAnsi="Garamond"/>
      </w:rPr>
      <w:tab/>
    </w:r>
    <w:r w:rsidRPr="00AB67E7">
      <w:rPr>
        <w:rFonts w:ascii="Garamond" w:hAnsi="Garamond"/>
        <w:b/>
      </w:rPr>
      <w:t>Virginia Division of Legislative Services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AD47" w14:textId="3B69B99C" w:rsidR="003C588F" w:rsidRPr="000D55EB" w:rsidRDefault="003C588F" w:rsidP="000D55EB">
    <w:pPr>
      <w:pStyle w:val="Brieftext"/>
      <w:tabs>
        <w:tab w:val="clear" w:pos="360"/>
        <w:tab w:val="right" w:pos="9360"/>
      </w:tabs>
      <w:spacing w:before="480"/>
      <w:rPr>
        <w:rFonts w:ascii="Garamond" w:hAnsi="Garamond"/>
      </w:rPr>
    </w:pPr>
    <w:r w:rsidRPr="00EA0983">
      <w:rPr>
        <w:rFonts w:ascii="Garamond" w:hAnsi="Garamond"/>
        <w:noProof/>
      </w:rPr>
      <w:drawing>
        <wp:anchor distT="36576" distB="36576" distL="36576" distR="36576" simplePos="0" relativeHeight="251663360" behindDoc="0" locked="0" layoutInCell="1" allowOverlap="1" wp14:anchorId="2EBB0363" wp14:editId="577DAF6D">
          <wp:simplePos x="0" y="0"/>
          <wp:positionH relativeFrom="column">
            <wp:posOffset>-546100</wp:posOffset>
          </wp:positionH>
          <wp:positionV relativeFrom="paragraph">
            <wp:posOffset>233408</wp:posOffset>
          </wp:positionV>
          <wp:extent cx="611950" cy="292100"/>
          <wp:effectExtent l="0" t="0" r="0" b="0"/>
          <wp:wrapNone/>
          <wp:docPr id="3" name="Picture 3" descr="logo new cap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ew cap only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50" cy="29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rPr>
      <w:t xml:space="preserve"> </w:t>
    </w:r>
    <w:r w:rsidRPr="00AB67E7">
      <w:rPr>
        <w:rFonts w:ascii="Garamond" w:hAnsi="Garamond"/>
        <w:b/>
      </w:rPr>
      <w:t>Virginia Division of Legislative Services</w:t>
    </w:r>
    <w:r>
      <w:rPr>
        <w:rFonts w:ascii="Garamond" w:hAnsi="Garamond"/>
      </w:rPr>
      <w:tab/>
    </w:r>
    <w:r w:rsidRPr="00EA0983">
      <w:rPr>
        <w:rFonts w:ascii="Garamond" w:hAnsi="Garamond"/>
      </w:rPr>
      <w:t xml:space="preserve">Page </w:t>
    </w:r>
    <w:r w:rsidRPr="00EA0983">
      <w:rPr>
        <w:rFonts w:ascii="Garamond" w:hAnsi="Garamond"/>
      </w:rPr>
      <w:fldChar w:fldCharType="begin"/>
    </w:r>
    <w:r w:rsidRPr="00EA0983">
      <w:rPr>
        <w:rFonts w:ascii="Garamond" w:hAnsi="Garamond"/>
      </w:rPr>
      <w:instrText xml:space="preserve"> PAGE  \* Arabic  \* MERGEFORMAT </w:instrText>
    </w:r>
    <w:r w:rsidRPr="00EA0983">
      <w:rPr>
        <w:rFonts w:ascii="Garamond" w:hAnsi="Garamond"/>
      </w:rPr>
      <w:fldChar w:fldCharType="separate"/>
    </w:r>
    <w:r w:rsidR="007D204F">
      <w:rPr>
        <w:rFonts w:ascii="Garamond" w:hAnsi="Garamond"/>
        <w:noProof/>
      </w:rPr>
      <w:t>3</w:t>
    </w:r>
    <w:r w:rsidRPr="00EA0983">
      <w:rPr>
        <w:rFonts w:ascii="Garamond" w:hAnsi="Garamond"/>
      </w:rPr>
      <w:fldChar w:fldCharType="end"/>
    </w:r>
    <w:r w:rsidRPr="00EA0983">
      <w:rPr>
        <w:rFonts w:ascii="Garamond" w:hAnsi="Garamond"/>
      </w:rPr>
      <w:t xml:space="preserve"> of </w:t>
    </w:r>
    <w:r w:rsidRPr="00EA0983">
      <w:rPr>
        <w:rFonts w:ascii="Garamond" w:hAnsi="Garamond"/>
      </w:rPr>
      <w:fldChar w:fldCharType="begin"/>
    </w:r>
    <w:r w:rsidRPr="00EA0983">
      <w:rPr>
        <w:rFonts w:ascii="Garamond" w:hAnsi="Garamond"/>
      </w:rPr>
      <w:instrText xml:space="preserve"> NUMPAGES  \* Arabic  \* MERGEFORMAT </w:instrText>
    </w:r>
    <w:r w:rsidRPr="00EA0983">
      <w:rPr>
        <w:rFonts w:ascii="Garamond" w:hAnsi="Garamond"/>
      </w:rPr>
      <w:fldChar w:fldCharType="separate"/>
    </w:r>
    <w:r w:rsidR="007D204F">
      <w:rPr>
        <w:rFonts w:ascii="Garamond" w:hAnsi="Garamond"/>
        <w:noProof/>
      </w:rPr>
      <w:t>5</w:t>
    </w:r>
    <w:r w:rsidRPr="00EA0983">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939B" w14:textId="77777777" w:rsidR="0095496C" w:rsidRDefault="0095496C" w:rsidP="009C31A7">
      <w:pPr>
        <w:spacing w:after="0" w:line="240" w:lineRule="auto"/>
      </w:pPr>
      <w:r>
        <w:separator/>
      </w:r>
    </w:p>
  </w:footnote>
  <w:footnote w:type="continuationSeparator" w:id="0">
    <w:p w14:paraId="289772CB" w14:textId="77777777" w:rsidR="0095496C" w:rsidRDefault="0095496C" w:rsidP="0054526B">
      <w:pPr>
        <w:spacing w:after="0" w:line="240" w:lineRule="auto"/>
      </w:pPr>
      <w:r>
        <w:continuationSeparator/>
      </w:r>
    </w:p>
    <w:p w14:paraId="551BA2EC" w14:textId="77777777" w:rsidR="0095496C" w:rsidRDefault="0095496C"/>
  </w:footnote>
  <w:footnote w:id="1">
    <w:p w14:paraId="4DBB4E5C" w14:textId="77777777" w:rsidR="003C588F" w:rsidRDefault="003C588F">
      <w:pPr>
        <w:pStyle w:val="FootnoteText"/>
      </w:pPr>
      <w:r>
        <w:rPr>
          <w:rStyle w:val="FootnoteReference"/>
        </w:rPr>
        <w:footnoteRef/>
      </w:r>
      <w:r>
        <w:t xml:space="preserve"> </w:t>
      </w:r>
      <w:r w:rsidRPr="007B45D0">
        <w:rPr>
          <w:i/>
        </w:rPr>
        <w:t>Hawkins v. Town of South Hill</w:t>
      </w:r>
      <w:r w:rsidRPr="00E725CE">
        <w:t>, Record No. 210848878, S.E.2d 408 (2022)</w:t>
      </w:r>
      <w:r w:rsidR="00FF1B0F">
        <w:t>.</w:t>
      </w:r>
    </w:p>
  </w:footnote>
  <w:footnote w:id="2">
    <w:p w14:paraId="25BA03C1" w14:textId="58774B81" w:rsidR="003C588F" w:rsidRDefault="003C588F">
      <w:pPr>
        <w:pStyle w:val="FootnoteText"/>
      </w:pPr>
      <w:r>
        <w:rPr>
          <w:rStyle w:val="FootnoteReference"/>
        </w:rPr>
        <w:footnoteRef/>
      </w:r>
      <w:r>
        <w:t xml:space="preserve"> </w:t>
      </w:r>
      <w:r w:rsidR="00FF1B0F" w:rsidRPr="00FF1B0F">
        <w:rPr>
          <w:i/>
        </w:rPr>
        <w:t>Id</w:t>
      </w:r>
      <w:r>
        <w:t>.</w:t>
      </w:r>
    </w:p>
  </w:footnote>
  <w:footnote w:id="3">
    <w:p w14:paraId="6C2EBEE7" w14:textId="6B2F0181" w:rsidR="003C588F" w:rsidRDefault="003C588F">
      <w:pPr>
        <w:pStyle w:val="FootnoteText"/>
      </w:pPr>
      <w:r>
        <w:rPr>
          <w:rStyle w:val="FootnoteReference"/>
        </w:rPr>
        <w:footnoteRef/>
      </w:r>
      <w:r>
        <w:t xml:space="preserve"> </w:t>
      </w:r>
      <w:r w:rsidR="00FF1B0F" w:rsidRPr="00FF1B0F">
        <w:rPr>
          <w:i/>
        </w:rPr>
        <w:t>Id</w:t>
      </w:r>
      <w:r>
        <w:t>.</w:t>
      </w:r>
    </w:p>
  </w:footnote>
  <w:footnote w:id="4">
    <w:p w14:paraId="585EA22C" w14:textId="1C7056C9" w:rsidR="003C588F" w:rsidRDefault="003C588F">
      <w:pPr>
        <w:pStyle w:val="FootnoteText"/>
      </w:pPr>
      <w:r>
        <w:rPr>
          <w:rStyle w:val="FootnoteReference"/>
        </w:rPr>
        <w:footnoteRef/>
      </w:r>
      <w:r>
        <w:t xml:space="preserve"> </w:t>
      </w:r>
      <w:r w:rsidR="00FF1B0F" w:rsidRPr="00FF1B0F">
        <w:rPr>
          <w:i/>
        </w:rPr>
        <w:t>Id</w:t>
      </w:r>
      <w:r>
        <w:t>.</w:t>
      </w:r>
    </w:p>
  </w:footnote>
  <w:footnote w:id="5">
    <w:p w14:paraId="41804E5F" w14:textId="418547F7" w:rsidR="003C588F" w:rsidRDefault="003C588F">
      <w:pPr>
        <w:pStyle w:val="FootnoteText"/>
      </w:pPr>
      <w:r>
        <w:rPr>
          <w:rStyle w:val="FootnoteReference"/>
        </w:rPr>
        <w:footnoteRef/>
      </w:r>
      <w:r>
        <w:t xml:space="preserve"> </w:t>
      </w:r>
      <w:r w:rsidR="00FF1B0F" w:rsidRPr="00FF1B0F">
        <w:rPr>
          <w:i/>
        </w:rPr>
        <w:t>Id</w:t>
      </w:r>
      <w:r>
        <w:t>.</w:t>
      </w:r>
    </w:p>
  </w:footnote>
  <w:footnote w:id="6">
    <w:p w14:paraId="724B6AED" w14:textId="3126A19A" w:rsidR="003C588F" w:rsidRDefault="003C588F">
      <w:pPr>
        <w:pStyle w:val="FootnoteText"/>
      </w:pPr>
      <w:r>
        <w:rPr>
          <w:rStyle w:val="FootnoteReference"/>
        </w:rPr>
        <w:footnoteRef/>
      </w:r>
      <w:r>
        <w:t xml:space="preserve"> </w:t>
      </w:r>
      <w:r w:rsidR="00FF1B0F" w:rsidRPr="00FF1B0F">
        <w:rPr>
          <w:i/>
        </w:rPr>
        <w:t>Id</w:t>
      </w:r>
      <w:r>
        <w:t>.</w:t>
      </w:r>
    </w:p>
  </w:footnote>
  <w:footnote w:id="7">
    <w:p w14:paraId="5251ECD3" w14:textId="1D12C0AF" w:rsidR="003C588F" w:rsidRDefault="003C588F">
      <w:pPr>
        <w:pStyle w:val="FootnoteText"/>
      </w:pPr>
      <w:r>
        <w:rPr>
          <w:rStyle w:val="FootnoteReference"/>
        </w:rPr>
        <w:footnoteRef/>
      </w:r>
      <w:r>
        <w:t xml:space="preserve"> </w:t>
      </w:r>
      <w:r w:rsidR="00FF1B0F" w:rsidRPr="00FF1B0F">
        <w:rPr>
          <w:i/>
        </w:rPr>
        <w:t>Id</w:t>
      </w:r>
      <w:r>
        <w:t>.</w:t>
      </w:r>
    </w:p>
  </w:footnote>
  <w:footnote w:id="8">
    <w:p w14:paraId="2BF735B1" w14:textId="4E35ED63" w:rsidR="003C588F" w:rsidRDefault="003C588F">
      <w:pPr>
        <w:pStyle w:val="FootnoteText"/>
      </w:pPr>
      <w:r>
        <w:rPr>
          <w:rStyle w:val="FootnoteReference"/>
        </w:rPr>
        <w:footnoteRef/>
      </w:r>
      <w:r>
        <w:t xml:space="preserve"> </w:t>
      </w:r>
      <w:r w:rsidR="00FF1B0F" w:rsidRPr="00FF1B0F">
        <w:rPr>
          <w:i/>
        </w:rPr>
        <w:t>Id</w:t>
      </w:r>
      <w:r>
        <w:t>.</w:t>
      </w:r>
    </w:p>
  </w:footnote>
  <w:footnote w:id="9">
    <w:p w14:paraId="45D39560" w14:textId="731FF62C" w:rsidR="003C588F" w:rsidRDefault="003C588F">
      <w:pPr>
        <w:pStyle w:val="FootnoteText"/>
      </w:pPr>
      <w:r>
        <w:rPr>
          <w:rStyle w:val="FootnoteReference"/>
        </w:rPr>
        <w:footnoteRef/>
      </w:r>
      <w:r>
        <w:t xml:space="preserve"> </w:t>
      </w:r>
      <w:r w:rsidR="00FF1B0F" w:rsidRPr="00FF1B0F">
        <w:rPr>
          <w:i/>
        </w:rPr>
        <w:t>Id</w:t>
      </w:r>
      <w:r>
        <w:t>.</w:t>
      </w:r>
    </w:p>
  </w:footnote>
  <w:footnote w:id="10">
    <w:p w14:paraId="6116680D" w14:textId="00513490" w:rsidR="003C588F" w:rsidRDefault="003C588F">
      <w:pPr>
        <w:pStyle w:val="FootnoteText"/>
      </w:pPr>
      <w:r>
        <w:rPr>
          <w:rStyle w:val="FootnoteReference"/>
        </w:rPr>
        <w:footnoteRef/>
      </w:r>
      <w:r>
        <w:t xml:space="preserve"> </w:t>
      </w:r>
      <w:r w:rsidR="00FF1B0F" w:rsidRPr="00FF1B0F">
        <w:rPr>
          <w:i/>
        </w:rPr>
        <w:t>Id</w:t>
      </w:r>
      <w:r>
        <w:t>.</w:t>
      </w:r>
    </w:p>
  </w:footnote>
  <w:footnote w:id="11">
    <w:p w14:paraId="33A2B54E" w14:textId="0A8C00FB" w:rsidR="003C588F" w:rsidRDefault="003C588F">
      <w:pPr>
        <w:pStyle w:val="FootnoteText"/>
      </w:pPr>
      <w:r>
        <w:rPr>
          <w:rStyle w:val="FootnoteReference"/>
        </w:rPr>
        <w:footnoteRef/>
      </w:r>
      <w:r>
        <w:t xml:space="preserve"> </w:t>
      </w:r>
      <w:r w:rsidR="00FF1B0F" w:rsidRPr="00FF1B0F">
        <w:rPr>
          <w:i/>
        </w:rPr>
        <w:t>Id</w:t>
      </w:r>
      <w:r>
        <w:t xml:space="preserve">. </w:t>
      </w:r>
    </w:p>
  </w:footnote>
  <w:footnote w:id="12">
    <w:p w14:paraId="04125179" w14:textId="73B59756" w:rsidR="003C588F" w:rsidRDefault="003C588F">
      <w:pPr>
        <w:pStyle w:val="FootnoteText"/>
      </w:pPr>
      <w:r>
        <w:rPr>
          <w:rStyle w:val="FootnoteReference"/>
        </w:rPr>
        <w:footnoteRef/>
      </w:r>
      <w:r>
        <w:t xml:space="preserve"> </w:t>
      </w:r>
      <w:r w:rsidR="00FF1B0F" w:rsidRPr="00FF1B0F">
        <w:rPr>
          <w:i/>
        </w:rPr>
        <w:t>Id</w:t>
      </w:r>
      <w:r>
        <w:t>.</w:t>
      </w:r>
    </w:p>
  </w:footnote>
  <w:footnote w:id="13">
    <w:p w14:paraId="4DCC4428" w14:textId="01D9F5F7" w:rsidR="003C588F" w:rsidRDefault="003C588F">
      <w:pPr>
        <w:pStyle w:val="FootnoteText"/>
      </w:pPr>
      <w:r>
        <w:rPr>
          <w:rStyle w:val="FootnoteReference"/>
        </w:rPr>
        <w:footnoteRef/>
      </w:r>
      <w:r>
        <w:t xml:space="preserve"> 1968 Acts </w:t>
      </w:r>
      <w:r w:rsidR="00FF1B0F">
        <w:t xml:space="preserve">of Assembly </w:t>
      </w:r>
      <w:r>
        <w:t>c. 479</w:t>
      </w:r>
      <w:r w:rsidR="00FF1B0F">
        <w:t>.</w:t>
      </w:r>
    </w:p>
  </w:footnote>
  <w:footnote w:id="14">
    <w:p w14:paraId="305F8B06" w14:textId="43EE6EB4" w:rsidR="003C588F" w:rsidRDefault="003C588F">
      <w:pPr>
        <w:pStyle w:val="FootnoteText"/>
      </w:pPr>
      <w:r>
        <w:rPr>
          <w:rStyle w:val="FootnoteReference"/>
        </w:rPr>
        <w:footnoteRef/>
      </w:r>
      <w:r>
        <w:t xml:space="preserve"> </w:t>
      </w:r>
      <w:r w:rsidRPr="007B45D0">
        <w:rPr>
          <w:i/>
        </w:rPr>
        <w:t>Hawkins</w:t>
      </w:r>
      <w:r w:rsidR="00FF1B0F">
        <w:rPr>
          <w:i/>
        </w:rPr>
        <w:t xml:space="preserve">, supra </w:t>
      </w:r>
      <w:r w:rsidR="00FF1B0F">
        <w:t>n. 1</w:t>
      </w:r>
      <w:r w:rsidR="00017528">
        <w:t xml:space="preserve"> (citing 1989 Acts of Assembly, c. 358)</w:t>
      </w:r>
      <w:r w:rsidR="00FF1B0F">
        <w:t>.</w:t>
      </w:r>
    </w:p>
  </w:footnote>
  <w:footnote w:id="15">
    <w:p w14:paraId="5C652C83" w14:textId="215AB441" w:rsidR="003C588F" w:rsidRDefault="003C588F">
      <w:pPr>
        <w:pStyle w:val="FootnoteText"/>
      </w:pPr>
      <w:r>
        <w:rPr>
          <w:rStyle w:val="FootnoteReference"/>
        </w:rPr>
        <w:footnoteRef/>
      </w:r>
      <w:r>
        <w:t xml:space="preserve"> 2016 Acts </w:t>
      </w:r>
      <w:r w:rsidR="00FF1B0F">
        <w:t>of Assembly,</w:t>
      </w:r>
      <w:r w:rsidR="00081EA2">
        <w:t xml:space="preserve"> cc.</w:t>
      </w:r>
      <w:r>
        <w:t xml:space="preserve"> 620</w:t>
      </w:r>
      <w:r w:rsidR="00081EA2">
        <w:t>, 716</w:t>
      </w:r>
      <w:r w:rsidR="00FF1B0F">
        <w:t>.</w:t>
      </w:r>
    </w:p>
  </w:footnote>
  <w:footnote w:id="16">
    <w:p w14:paraId="3069746F" w14:textId="1241E292" w:rsidR="003C588F" w:rsidRDefault="003C588F">
      <w:pPr>
        <w:pStyle w:val="FootnoteText"/>
      </w:pPr>
      <w:r>
        <w:rPr>
          <w:rStyle w:val="FootnoteReference"/>
        </w:rPr>
        <w:footnoteRef/>
      </w:r>
      <w:r>
        <w:t xml:space="preserve"> </w:t>
      </w:r>
      <w:r w:rsidRPr="0038325B">
        <w:rPr>
          <w:i/>
        </w:rPr>
        <w:t>Hawkins</w:t>
      </w:r>
      <w:r w:rsidR="00FF1B0F">
        <w:rPr>
          <w:i/>
        </w:rPr>
        <w:t xml:space="preserve">, supra </w:t>
      </w:r>
      <w:r w:rsidR="00FF1B0F">
        <w:t>n. 1.</w:t>
      </w:r>
      <w:r w:rsidRPr="0038325B">
        <w:rPr>
          <w:i/>
        </w:rPr>
        <w:t xml:space="preserve"> </w:t>
      </w:r>
    </w:p>
  </w:footnote>
  <w:footnote w:id="17">
    <w:p w14:paraId="58A48DCE" w14:textId="1F2BFB0A" w:rsidR="003C588F" w:rsidRDefault="003C588F">
      <w:pPr>
        <w:pStyle w:val="FootnoteText"/>
      </w:pPr>
      <w:r>
        <w:rPr>
          <w:rStyle w:val="FootnoteReference"/>
        </w:rPr>
        <w:footnoteRef/>
      </w:r>
      <w:r>
        <w:t xml:space="preserve"> </w:t>
      </w:r>
      <w:r w:rsidRPr="0038325B">
        <w:rPr>
          <w:i/>
        </w:rPr>
        <w:t>Hawkins</w:t>
      </w:r>
      <w:r w:rsidR="00FF1B0F">
        <w:rPr>
          <w:i/>
        </w:rPr>
        <w:t xml:space="preserve">, supra </w:t>
      </w:r>
      <w:r w:rsidR="00FF1B0F">
        <w:t>n.1.</w:t>
      </w:r>
    </w:p>
  </w:footnote>
  <w:footnote w:id="18">
    <w:p w14:paraId="3BE0FC9D" w14:textId="42F71005" w:rsidR="003C588F" w:rsidRDefault="003C588F">
      <w:pPr>
        <w:pStyle w:val="FootnoteText"/>
      </w:pPr>
      <w:r>
        <w:rPr>
          <w:rStyle w:val="FootnoteReference"/>
        </w:rPr>
        <w:footnoteRef/>
      </w:r>
      <w:r>
        <w:t xml:space="preserve"> </w:t>
      </w:r>
      <w:r w:rsidR="00FF1B0F" w:rsidRPr="00FF1B0F">
        <w:rPr>
          <w:i/>
        </w:rPr>
        <w:t>Id</w:t>
      </w:r>
      <w:r>
        <w:t>.</w:t>
      </w:r>
    </w:p>
  </w:footnote>
  <w:footnote w:id="19">
    <w:p w14:paraId="4147F8A3" w14:textId="39468D96" w:rsidR="003C588F" w:rsidRDefault="003C588F">
      <w:pPr>
        <w:pStyle w:val="FootnoteText"/>
      </w:pPr>
      <w:r>
        <w:rPr>
          <w:rStyle w:val="FootnoteReference"/>
        </w:rPr>
        <w:footnoteRef/>
      </w:r>
      <w:r>
        <w:t xml:space="preserve"> </w:t>
      </w:r>
      <w:r w:rsidR="00FF1B0F" w:rsidRPr="00FF1B0F">
        <w:rPr>
          <w:i/>
        </w:rPr>
        <w:t>Id</w:t>
      </w:r>
      <w:r>
        <w:t>.</w:t>
      </w:r>
    </w:p>
  </w:footnote>
  <w:footnote w:id="20">
    <w:p w14:paraId="011A6ABF" w14:textId="0F195CD8" w:rsidR="003C588F" w:rsidRDefault="003C588F">
      <w:pPr>
        <w:pStyle w:val="FootnoteText"/>
      </w:pPr>
      <w:r>
        <w:rPr>
          <w:rStyle w:val="FootnoteReference"/>
        </w:rPr>
        <w:footnoteRef/>
      </w:r>
      <w:r>
        <w:t xml:space="preserve"> </w:t>
      </w:r>
      <w:r w:rsidR="00FF1B0F" w:rsidRPr="00FF1B0F">
        <w:rPr>
          <w:i/>
        </w:rPr>
        <w:t>Id</w:t>
      </w:r>
      <w:r>
        <w:t>.</w:t>
      </w:r>
    </w:p>
  </w:footnote>
  <w:footnote w:id="21">
    <w:p w14:paraId="6D7DD995" w14:textId="1E6CF80F" w:rsidR="003C588F" w:rsidRDefault="003C588F">
      <w:pPr>
        <w:pStyle w:val="FootnoteText"/>
      </w:pPr>
      <w:r>
        <w:rPr>
          <w:rStyle w:val="FootnoteReference"/>
        </w:rPr>
        <w:footnoteRef/>
      </w:r>
      <w:r>
        <w:t xml:space="preserve"> </w:t>
      </w:r>
      <w:r w:rsidR="00FF1B0F" w:rsidRPr="00FF1B0F">
        <w:rPr>
          <w:i/>
        </w:rPr>
        <w:t>Id</w:t>
      </w:r>
      <w:r>
        <w:t>.</w:t>
      </w:r>
    </w:p>
  </w:footnote>
  <w:footnote w:id="22">
    <w:p w14:paraId="10110BD0" w14:textId="543E319D" w:rsidR="003C588F" w:rsidRDefault="003C588F">
      <w:pPr>
        <w:pStyle w:val="FootnoteText"/>
      </w:pPr>
      <w:r>
        <w:rPr>
          <w:rStyle w:val="FootnoteReference"/>
        </w:rPr>
        <w:footnoteRef/>
      </w:r>
      <w:r>
        <w:t xml:space="preserve"> </w:t>
      </w:r>
      <w:r w:rsidR="00FF1B0F" w:rsidRPr="00FF1B0F">
        <w:rPr>
          <w:i/>
        </w:rPr>
        <w:t>Id</w:t>
      </w:r>
      <w:r>
        <w:t>.</w:t>
      </w:r>
    </w:p>
  </w:footnote>
  <w:footnote w:id="23">
    <w:p w14:paraId="78FEF21E" w14:textId="2C6D8C61" w:rsidR="003C588F" w:rsidRDefault="003C588F">
      <w:pPr>
        <w:pStyle w:val="FootnoteText"/>
      </w:pPr>
      <w:r>
        <w:rPr>
          <w:rStyle w:val="FootnoteReference"/>
        </w:rPr>
        <w:footnoteRef/>
      </w:r>
      <w:r>
        <w:t xml:space="preserve"> </w:t>
      </w:r>
      <w:r w:rsidR="00FF1B0F" w:rsidRPr="00FF1B0F">
        <w:rPr>
          <w:i/>
        </w:rPr>
        <w:t>Id</w:t>
      </w:r>
      <w:r>
        <w:t>.</w:t>
      </w:r>
    </w:p>
  </w:footnote>
  <w:footnote w:id="24">
    <w:p w14:paraId="679B54A5" w14:textId="47C7A4E0" w:rsidR="003C588F" w:rsidRDefault="003C588F">
      <w:pPr>
        <w:pStyle w:val="FootnoteText"/>
      </w:pPr>
      <w:r>
        <w:rPr>
          <w:rStyle w:val="FootnoteReference"/>
        </w:rPr>
        <w:footnoteRef/>
      </w:r>
      <w:r>
        <w:t xml:space="preserve"> </w:t>
      </w:r>
      <w:r w:rsidR="00FF1B0F" w:rsidRPr="00FF1B0F">
        <w:rPr>
          <w:i/>
        </w:rPr>
        <w:t>Id</w:t>
      </w:r>
      <w:r>
        <w:t>.</w:t>
      </w:r>
    </w:p>
  </w:footnote>
  <w:footnote w:id="25">
    <w:p w14:paraId="4D0B1F93" w14:textId="3E63B66C" w:rsidR="003C588F" w:rsidRDefault="003C588F">
      <w:pPr>
        <w:pStyle w:val="FootnoteText"/>
      </w:pPr>
      <w:r>
        <w:rPr>
          <w:rStyle w:val="FootnoteReference"/>
        </w:rPr>
        <w:footnoteRef/>
      </w:r>
      <w:r>
        <w:t xml:space="preserve"> </w:t>
      </w:r>
      <w:r w:rsidR="00FF1B0F" w:rsidRPr="00FF1B0F">
        <w:rPr>
          <w:i/>
        </w:rPr>
        <w:t>Id</w:t>
      </w:r>
      <w:r>
        <w:t>.</w:t>
      </w:r>
    </w:p>
  </w:footnote>
  <w:footnote w:id="26">
    <w:p w14:paraId="3EC717E1" w14:textId="323C38CC" w:rsidR="003C588F" w:rsidRDefault="003C588F">
      <w:pPr>
        <w:pStyle w:val="FootnoteText"/>
      </w:pPr>
      <w:r>
        <w:rPr>
          <w:rStyle w:val="FootnoteReference"/>
        </w:rPr>
        <w:footnoteRef/>
      </w:r>
      <w:r>
        <w:t xml:space="preserve"> </w:t>
      </w:r>
      <w:r w:rsidR="00FF1B0F" w:rsidRPr="00FF1B0F">
        <w:rPr>
          <w:i/>
        </w:rPr>
        <w:t>Id</w:t>
      </w:r>
      <w:r>
        <w:t>.</w:t>
      </w:r>
    </w:p>
  </w:footnote>
  <w:footnote w:id="27">
    <w:p w14:paraId="76EBE588" w14:textId="303E70C0" w:rsidR="003C588F" w:rsidRDefault="003C588F">
      <w:pPr>
        <w:pStyle w:val="FootnoteText"/>
      </w:pPr>
      <w:r>
        <w:rPr>
          <w:rStyle w:val="FootnoteReference"/>
        </w:rPr>
        <w:footnoteRef/>
      </w:r>
      <w:r>
        <w:t xml:space="preserve"> </w:t>
      </w:r>
      <w:r w:rsidR="00FF1B0F" w:rsidRPr="00FF1B0F">
        <w:rPr>
          <w:i/>
        </w:rPr>
        <w:t>Id</w:t>
      </w:r>
      <w:r>
        <w:t>.</w:t>
      </w:r>
    </w:p>
  </w:footnote>
  <w:footnote w:id="28">
    <w:p w14:paraId="52D18798" w14:textId="2CD962D3" w:rsidR="003C588F" w:rsidRDefault="003C588F">
      <w:pPr>
        <w:pStyle w:val="FootnoteText"/>
      </w:pPr>
      <w:r>
        <w:rPr>
          <w:rStyle w:val="FootnoteReference"/>
        </w:rPr>
        <w:footnoteRef/>
      </w:r>
      <w:r>
        <w:t xml:space="preserve"> </w:t>
      </w:r>
      <w:r w:rsidR="00FF1B0F" w:rsidRPr="00FF1B0F">
        <w:rPr>
          <w:i/>
        </w:rPr>
        <w:t>Id</w:t>
      </w:r>
      <w:r>
        <w:t>.</w:t>
      </w:r>
    </w:p>
  </w:footnote>
  <w:footnote w:id="29">
    <w:p w14:paraId="4B4BAF5B" w14:textId="7C2A466A" w:rsidR="003C588F" w:rsidRDefault="003C588F">
      <w:pPr>
        <w:pStyle w:val="FootnoteText"/>
      </w:pPr>
      <w:r>
        <w:rPr>
          <w:rStyle w:val="FootnoteReference"/>
        </w:rPr>
        <w:footnoteRef/>
      </w:r>
      <w:r>
        <w:t xml:space="preserve"> </w:t>
      </w:r>
      <w:r w:rsidR="00FF1B0F" w:rsidRPr="00FF1B0F">
        <w:rPr>
          <w:i/>
        </w:rPr>
        <w:t>Id</w:t>
      </w:r>
      <w:r>
        <w:t>.</w:t>
      </w:r>
    </w:p>
  </w:footnote>
  <w:footnote w:id="30">
    <w:p w14:paraId="3193076F" w14:textId="7869B03A" w:rsidR="003C588F" w:rsidRDefault="003C588F">
      <w:pPr>
        <w:pStyle w:val="FootnoteText"/>
      </w:pPr>
      <w:r>
        <w:rPr>
          <w:rStyle w:val="FootnoteReference"/>
        </w:rPr>
        <w:footnoteRef/>
      </w:r>
      <w:r>
        <w:t xml:space="preserve"> </w:t>
      </w:r>
      <w:r w:rsidR="00FF1B0F" w:rsidRPr="00FF1B0F">
        <w:rPr>
          <w:i/>
        </w:rPr>
        <w:t>Id</w:t>
      </w:r>
      <w:r>
        <w:t>.</w:t>
      </w:r>
    </w:p>
  </w:footnote>
  <w:footnote w:id="31">
    <w:p w14:paraId="7090EAD6" w14:textId="20CE4060" w:rsidR="003C588F" w:rsidRDefault="003C588F">
      <w:pPr>
        <w:pStyle w:val="FootnoteText"/>
      </w:pPr>
      <w:r>
        <w:rPr>
          <w:rStyle w:val="FootnoteReference"/>
        </w:rPr>
        <w:footnoteRef/>
      </w:r>
      <w:r>
        <w:t xml:space="preserve"> </w:t>
      </w:r>
      <w:r w:rsidR="00FF1B0F" w:rsidRPr="00FF1B0F">
        <w:rPr>
          <w:i/>
        </w:rPr>
        <w:t>Id</w:t>
      </w:r>
      <w:r>
        <w:t>.</w:t>
      </w:r>
    </w:p>
  </w:footnote>
  <w:footnote w:id="32">
    <w:p w14:paraId="028E18D2" w14:textId="5A232735" w:rsidR="003C588F" w:rsidRDefault="003C588F">
      <w:pPr>
        <w:pStyle w:val="FootnoteText"/>
      </w:pPr>
      <w:r>
        <w:rPr>
          <w:rStyle w:val="FootnoteReference"/>
        </w:rPr>
        <w:footnoteRef/>
      </w:r>
      <w:r>
        <w:t xml:space="preserve"> </w:t>
      </w:r>
      <w:r w:rsidR="00FF1B0F" w:rsidRPr="00FF1B0F">
        <w:rPr>
          <w:i/>
        </w:rPr>
        <w:t>Id</w:t>
      </w:r>
      <w:r>
        <w:t>.</w:t>
      </w:r>
    </w:p>
  </w:footnote>
  <w:footnote w:id="33">
    <w:p w14:paraId="205AD42F" w14:textId="596051A2" w:rsidR="003C588F" w:rsidRDefault="003C588F">
      <w:pPr>
        <w:pStyle w:val="FootnoteText"/>
      </w:pPr>
      <w:r>
        <w:rPr>
          <w:rStyle w:val="FootnoteReference"/>
        </w:rPr>
        <w:footnoteRef/>
      </w:r>
      <w:r>
        <w:t xml:space="preserve"> </w:t>
      </w:r>
      <w:r w:rsidR="00FF1B0F" w:rsidRPr="00FF1B0F">
        <w:rPr>
          <w:i/>
        </w:rPr>
        <w:t>Id</w:t>
      </w:r>
      <w:r>
        <w:t>.</w:t>
      </w:r>
    </w:p>
  </w:footnote>
  <w:footnote w:id="34">
    <w:p w14:paraId="578AC2C7" w14:textId="09733EF5" w:rsidR="0037786B" w:rsidRDefault="0037786B">
      <w:pPr>
        <w:pStyle w:val="FootnoteText"/>
      </w:pPr>
      <w:r>
        <w:rPr>
          <w:rStyle w:val="FootnoteReference"/>
        </w:rPr>
        <w:footnoteRef/>
      </w:r>
      <w:r>
        <w:t xml:space="preserve"> </w:t>
      </w:r>
      <w:r w:rsidR="00FF1B0F" w:rsidRPr="00FF1B0F">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3004" w14:textId="77777777" w:rsidR="003C588F" w:rsidRPr="00A55B2C" w:rsidRDefault="003C588F" w:rsidP="00476BB2">
    <w:pPr>
      <w:pStyle w:val="Header"/>
      <w:tabs>
        <w:tab w:val="clear" w:pos="4680"/>
        <w:tab w:val="clear" w:pos="9360"/>
        <w:tab w:val="right" w:pos="10080"/>
      </w:tabs>
      <w:spacing w:after="480"/>
      <w:jc w:val="right"/>
      <w:rPr>
        <w:rFonts w:ascii="Times New Roman" w:hAnsi="Times New Roman" w:cs="Times New Roman"/>
        <w:color w:val="327DC2"/>
        <w:sz w:val="44"/>
        <w:szCs w:val="44"/>
      </w:rPr>
    </w:pPr>
    <w:r w:rsidRPr="00BD06AB">
      <w:rPr>
        <w:noProof/>
        <w:color w:val="00602B"/>
      </w:rPr>
      <w:drawing>
        <wp:anchor distT="36576" distB="36576" distL="36576" distR="36576" simplePos="0" relativeHeight="251659264" behindDoc="0" locked="0" layoutInCell="1" allowOverlap="1" wp14:anchorId="0BBFC6DC" wp14:editId="573CACBA">
          <wp:simplePos x="0" y="0"/>
          <wp:positionH relativeFrom="column">
            <wp:posOffset>0</wp:posOffset>
          </wp:positionH>
          <wp:positionV relativeFrom="paragraph">
            <wp:posOffset>100330</wp:posOffset>
          </wp:positionV>
          <wp:extent cx="917924" cy="438150"/>
          <wp:effectExtent l="0" t="0" r="0" b="0"/>
          <wp:wrapNone/>
          <wp:docPr id="1" name="Picture 1" descr="logo new cap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ew cap only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7924" cy="438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D06AB">
      <w:rPr>
        <w:rFonts w:ascii="Times New Roman" w:hAnsi="Times New Roman" w:cs="Times New Roman"/>
        <w:color w:val="00602B"/>
        <w:sz w:val="36"/>
        <w:szCs w:val="36"/>
      </w:rPr>
      <w:br/>
    </w:r>
    <w:r w:rsidRPr="00A55B2C">
      <w:rPr>
        <w:rFonts w:ascii="Times New Roman" w:hAnsi="Times New Roman" w:cs="Times New Roman"/>
        <w:color w:val="327DC2"/>
        <w:sz w:val="44"/>
        <w:szCs w:val="44"/>
      </w:rPr>
      <w:t>Issue Brief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B85"/>
    <w:multiLevelType w:val="hybridMultilevel"/>
    <w:tmpl w:val="E2649F1A"/>
    <w:lvl w:ilvl="0" w:tplc="97D2D738">
      <w:start w:val="1"/>
      <w:numFmt w:val="decimal"/>
      <w:pStyle w:val="BriefListNumbers"/>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47E41E1"/>
    <w:multiLevelType w:val="hybridMultilevel"/>
    <w:tmpl w:val="567C2E40"/>
    <w:lvl w:ilvl="0" w:tplc="9AA43570">
      <w:start w:val="1"/>
      <w:numFmt w:val="bullet"/>
      <w:pStyle w:val="Brief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Moves/>
  <w:doNotTrackFormatting/>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41"/>
    <w:rsid w:val="00017528"/>
    <w:rsid w:val="00021BCC"/>
    <w:rsid w:val="00036F0A"/>
    <w:rsid w:val="000447B2"/>
    <w:rsid w:val="00075E43"/>
    <w:rsid w:val="00081EA2"/>
    <w:rsid w:val="000B1A8A"/>
    <w:rsid w:val="000C53E8"/>
    <w:rsid w:val="000D55EB"/>
    <w:rsid w:val="000E403A"/>
    <w:rsid w:val="000E4C7A"/>
    <w:rsid w:val="000F0B1A"/>
    <w:rsid w:val="000F450F"/>
    <w:rsid w:val="000F5ABF"/>
    <w:rsid w:val="00110C57"/>
    <w:rsid w:val="0012703D"/>
    <w:rsid w:val="001424CF"/>
    <w:rsid w:val="00144A9C"/>
    <w:rsid w:val="00145AA1"/>
    <w:rsid w:val="00167A67"/>
    <w:rsid w:val="002035E8"/>
    <w:rsid w:val="00227747"/>
    <w:rsid w:val="00234EB9"/>
    <w:rsid w:val="00244862"/>
    <w:rsid w:val="002636CB"/>
    <w:rsid w:val="00274070"/>
    <w:rsid w:val="002A01CB"/>
    <w:rsid w:val="002B6743"/>
    <w:rsid w:val="002C65E9"/>
    <w:rsid w:val="002D6E58"/>
    <w:rsid w:val="002D751F"/>
    <w:rsid w:val="002F226A"/>
    <w:rsid w:val="002F4596"/>
    <w:rsid w:val="00310182"/>
    <w:rsid w:val="0031250F"/>
    <w:rsid w:val="00321922"/>
    <w:rsid w:val="0036014A"/>
    <w:rsid w:val="0037786B"/>
    <w:rsid w:val="0038325B"/>
    <w:rsid w:val="003A2511"/>
    <w:rsid w:val="003A34CD"/>
    <w:rsid w:val="003A736B"/>
    <w:rsid w:val="003C588F"/>
    <w:rsid w:val="003D4E5C"/>
    <w:rsid w:val="00437F1C"/>
    <w:rsid w:val="00451C5C"/>
    <w:rsid w:val="00475ABD"/>
    <w:rsid w:val="00476BB2"/>
    <w:rsid w:val="004930D0"/>
    <w:rsid w:val="0049461A"/>
    <w:rsid w:val="004A17F6"/>
    <w:rsid w:val="004A59FC"/>
    <w:rsid w:val="004B07E8"/>
    <w:rsid w:val="004C42AE"/>
    <w:rsid w:val="004D2AD7"/>
    <w:rsid w:val="005447AA"/>
    <w:rsid w:val="00544837"/>
    <w:rsid w:val="0054526B"/>
    <w:rsid w:val="00545D05"/>
    <w:rsid w:val="0055096A"/>
    <w:rsid w:val="00555939"/>
    <w:rsid w:val="0058060E"/>
    <w:rsid w:val="005879E8"/>
    <w:rsid w:val="00596D69"/>
    <w:rsid w:val="005C01C2"/>
    <w:rsid w:val="00603C05"/>
    <w:rsid w:val="00605F6C"/>
    <w:rsid w:val="00613F79"/>
    <w:rsid w:val="00615AD7"/>
    <w:rsid w:val="0064018E"/>
    <w:rsid w:val="006479B2"/>
    <w:rsid w:val="00684A91"/>
    <w:rsid w:val="00697E6D"/>
    <w:rsid w:val="006A1855"/>
    <w:rsid w:val="006A3137"/>
    <w:rsid w:val="006C3128"/>
    <w:rsid w:val="006C575F"/>
    <w:rsid w:val="006E14F4"/>
    <w:rsid w:val="006F1E3F"/>
    <w:rsid w:val="006F639A"/>
    <w:rsid w:val="007074AA"/>
    <w:rsid w:val="00725B4B"/>
    <w:rsid w:val="007367C6"/>
    <w:rsid w:val="007464A7"/>
    <w:rsid w:val="00752020"/>
    <w:rsid w:val="00772598"/>
    <w:rsid w:val="007751E9"/>
    <w:rsid w:val="00780A54"/>
    <w:rsid w:val="00792F7B"/>
    <w:rsid w:val="007B3E57"/>
    <w:rsid w:val="007B43F8"/>
    <w:rsid w:val="007B45D0"/>
    <w:rsid w:val="007C18A7"/>
    <w:rsid w:val="007D04AF"/>
    <w:rsid w:val="007D204F"/>
    <w:rsid w:val="007E2C5F"/>
    <w:rsid w:val="007F1299"/>
    <w:rsid w:val="007F5304"/>
    <w:rsid w:val="008407C3"/>
    <w:rsid w:val="008513AA"/>
    <w:rsid w:val="00860F3D"/>
    <w:rsid w:val="00870D48"/>
    <w:rsid w:val="00886561"/>
    <w:rsid w:val="00891D77"/>
    <w:rsid w:val="008B4137"/>
    <w:rsid w:val="008B69E2"/>
    <w:rsid w:val="008C5751"/>
    <w:rsid w:val="008E4B66"/>
    <w:rsid w:val="008F3E81"/>
    <w:rsid w:val="0090679D"/>
    <w:rsid w:val="009406D3"/>
    <w:rsid w:val="00952F34"/>
    <w:rsid w:val="0095496C"/>
    <w:rsid w:val="00964348"/>
    <w:rsid w:val="009761EB"/>
    <w:rsid w:val="00992A52"/>
    <w:rsid w:val="00995744"/>
    <w:rsid w:val="009A43F5"/>
    <w:rsid w:val="009C2C47"/>
    <w:rsid w:val="009C31A7"/>
    <w:rsid w:val="009C6953"/>
    <w:rsid w:val="00A05E18"/>
    <w:rsid w:val="00A55B2C"/>
    <w:rsid w:val="00A804EC"/>
    <w:rsid w:val="00A854B9"/>
    <w:rsid w:val="00A85B0F"/>
    <w:rsid w:val="00AB23C9"/>
    <w:rsid w:val="00AB49D1"/>
    <w:rsid w:val="00AB67E7"/>
    <w:rsid w:val="00AC635E"/>
    <w:rsid w:val="00AD21F9"/>
    <w:rsid w:val="00AF3949"/>
    <w:rsid w:val="00AF467B"/>
    <w:rsid w:val="00AF6B9C"/>
    <w:rsid w:val="00B05966"/>
    <w:rsid w:val="00B221AB"/>
    <w:rsid w:val="00B31E51"/>
    <w:rsid w:val="00B40943"/>
    <w:rsid w:val="00B423C2"/>
    <w:rsid w:val="00B4362D"/>
    <w:rsid w:val="00B44590"/>
    <w:rsid w:val="00B6624C"/>
    <w:rsid w:val="00B77FE8"/>
    <w:rsid w:val="00B829C5"/>
    <w:rsid w:val="00BB0417"/>
    <w:rsid w:val="00BB5054"/>
    <w:rsid w:val="00BC42D3"/>
    <w:rsid w:val="00BD06AB"/>
    <w:rsid w:val="00C05B0C"/>
    <w:rsid w:val="00C2218A"/>
    <w:rsid w:val="00C225E7"/>
    <w:rsid w:val="00C335E0"/>
    <w:rsid w:val="00C4048C"/>
    <w:rsid w:val="00C406EA"/>
    <w:rsid w:val="00C52A1E"/>
    <w:rsid w:val="00C64712"/>
    <w:rsid w:val="00C705FB"/>
    <w:rsid w:val="00C75C2F"/>
    <w:rsid w:val="00C96189"/>
    <w:rsid w:val="00CA2729"/>
    <w:rsid w:val="00CA29BC"/>
    <w:rsid w:val="00CA5C95"/>
    <w:rsid w:val="00CC3641"/>
    <w:rsid w:val="00CC7044"/>
    <w:rsid w:val="00CD6D99"/>
    <w:rsid w:val="00D2423E"/>
    <w:rsid w:val="00D43830"/>
    <w:rsid w:val="00D44BAB"/>
    <w:rsid w:val="00D52A13"/>
    <w:rsid w:val="00D5344B"/>
    <w:rsid w:val="00D56278"/>
    <w:rsid w:val="00D80A85"/>
    <w:rsid w:val="00DC16B8"/>
    <w:rsid w:val="00DD367E"/>
    <w:rsid w:val="00DE0553"/>
    <w:rsid w:val="00E04E95"/>
    <w:rsid w:val="00E17A26"/>
    <w:rsid w:val="00E725CE"/>
    <w:rsid w:val="00E72FF5"/>
    <w:rsid w:val="00E772E8"/>
    <w:rsid w:val="00E9006C"/>
    <w:rsid w:val="00E903A5"/>
    <w:rsid w:val="00E93D19"/>
    <w:rsid w:val="00EA0983"/>
    <w:rsid w:val="00EA6FC9"/>
    <w:rsid w:val="00EB7466"/>
    <w:rsid w:val="00EC1B40"/>
    <w:rsid w:val="00EC3034"/>
    <w:rsid w:val="00F15300"/>
    <w:rsid w:val="00F26603"/>
    <w:rsid w:val="00F4339B"/>
    <w:rsid w:val="00F527EB"/>
    <w:rsid w:val="00F9062B"/>
    <w:rsid w:val="00FE6647"/>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90B2F"/>
  <w15:chartTrackingRefBased/>
  <w15:docId w15:val="{B5B9F98E-5CFB-4C6C-9626-71467CFC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5"/>
    <w:rPr>
      <w:rFonts w:eastAsiaTheme="minorEastAsia"/>
    </w:rPr>
  </w:style>
  <w:style w:type="paragraph" w:styleId="Heading2">
    <w:name w:val="heading 2"/>
    <w:basedOn w:val="Normal"/>
    <w:next w:val="Normal"/>
    <w:link w:val="Heading2Char"/>
    <w:uiPriority w:val="9"/>
    <w:unhideWhenUsed/>
    <w:qFormat/>
    <w:rsid w:val="0054526B"/>
    <w:pPr>
      <w:keepNext/>
      <w:widowControl w:val="0"/>
      <w:spacing w:before="240" w:after="0" w:line="192" w:lineRule="auto"/>
      <w:outlineLvl w:val="1"/>
    </w:pPr>
    <w:rPr>
      <w:rFonts w:eastAsia="Times New Roman" w:cstheme="majorBidi"/>
      <w:b/>
      <w:color w:val="9A3836"/>
      <w:spacing w:val="-4"/>
      <w:kern w:val="28"/>
      <w:sz w:val="26"/>
      <w:szCs w:val="28"/>
      <w14:ligatures w14:val="standard"/>
      <w14:cntxtAlts/>
    </w:rPr>
  </w:style>
  <w:style w:type="paragraph" w:styleId="Heading3">
    <w:name w:val="heading 3"/>
    <w:basedOn w:val="Normal"/>
    <w:next w:val="Normal"/>
    <w:link w:val="Heading3Char"/>
    <w:uiPriority w:val="9"/>
    <w:semiHidden/>
    <w:unhideWhenUsed/>
    <w:qFormat/>
    <w:rsid w:val="00545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26B"/>
    <w:rPr>
      <w:rFonts w:eastAsia="Times New Roman" w:cstheme="majorBidi"/>
      <w:b/>
      <w:color w:val="9A3836"/>
      <w:spacing w:val="-4"/>
      <w:kern w:val="28"/>
      <w:sz w:val="26"/>
      <w:szCs w:val="28"/>
      <w14:ligatures w14:val="standard"/>
      <w14:cntxtAlts/>
    </w:rPr>
  </w:style>
  <w:style w:type="paragraph" w:styleId="Header">
    <w:name w:val="header"/>
    <w:basedOn w:val="Normal"/>
    <w:link w:val="HeaderChar"/>
    <w:uiPriority w:val="99"/>
    <w:unhideWhenUsed/>
    <w:rsid w:val="0054526B"/>
    <w:pPr>
      <w:tabs>
        <w:tab w:val="center" w:pos="4680"/>
        <w:tab w:val="right" w:pos="9360"/>
      </w:tabs>
    </w:pPr>
  </w:style>
  <w:style w:type="character" w:customStyle="1" w:styleId="HeaderChar">
    <w:name w:val="Header Char"/>
    <w:basedOn w:val="DefaultParagraphFont"/>
    <w:link w:val="Header"/>
    <w:uiPriority w:val="99"/>
    <w:rsid w:val="0054526B"/>
    <w:rPr>
      <w:rFonts w:eastAsiaTheme="minorEastAsia"/>
    </w:rPr>
  </w:style>
  <w:style w:type="character" w:styleId="Hyperlink">
    <w:name w:val="Hyperlink"/>
    <w:basedOn w:val="DefaultParagraphFont"/>
    <w:uiPriority w:val="99"/>
    <w:unhideWhenUsed/>
    <w:rsid w:val="00603C05"/>
    <w:rPr>
      <w:rFonts w:ascii="Times New Roman" w:hAnsi="Times New Roman"/>
      <w:i/>
      <w:caps w:val="0"/>
      <w:smallCaps w:val="0"/>
      <w:strike w:val="0"/>
      <w:dstrike w:val="0"/>
      <w:vanish w:val="0"/>
      <w:color w:val="9A3836"/>
      <w:sz w:val="24"/>
      <w:u w:val="single" w:color="9A3836"/>
      <w:vertAlign w:val="baseline"/>
    </w:rPr>
  </w:style>
  <w:style w:type="paragraph" w:customStyle="1" w:styleId="BriefTitle">
    <w:name w:val="Brief Title"/>
    <w:basedOn w:val="Heading3"/>
    <w:link w:val="BriefTitleChar"/>
    <w:autoRedefine/>
    <w:qFormat/>
    <w:rsid w:val="007074AA"/>
    <w:pPr>
      <w:keepLines w:val="0"/>
      <w:widowControl w:val="0"/>
      <w:spacing w:before="120" w:line="240" w:lineRule="auto"/>
      <w:jc w:val="center"/>
    </w:pPr>
    <w:rPr>
      <w:rFonts w:ascii="Times New Roman" w:eastAsia="Times New Roman" w:hAnsi="Times New Roman"/>
      <w:bCs/>
      <w:color w:val="276297"/>
      <w:spacing w:val="18"/>
      <w:kern w:val="28"/>
      <w:sz w:val="32"/>
      <w:szCs w:val="56"/>
      <w14:cntxtAlts/>
    </w:rPr>
  </w:style>
  <w:style w:type="character" w:customStyle="1" w:styleId="BriefTitleChar">
    <w:name w:val="Brief Title Char"/>
    <w:basedOn w:val="Heading3Char"/>
    <w:link w:val="BriefTitle"/>
    <w:rsid w:val="007074AA"/>
    <w:rPr>
      <w:rFonts w:ascii="Times New Roman" w:eastAsia="Times New Roman" w:hAnsi="Times New Roman" w:cstheme="majorBidi"/>
      <w:bCs/>
      <w:color w:val="276297"/>
      <w:spacing w:val="18"/>
      <w:kern w:val="28"/>
      <w:sz w:val="32"/>
      <w:szCs w:val="56"/>
      <w14:cntxtAlts/>
    </w:rPr>
  </w:style>
  <w:style w:type="table" w:styleId="TableGrid">
    <w:name w:val="Table Grid"/>
    <w:basedOn w:val="TableNormal"/>
    <w:uiPriority w:val="59"/>
    <w:rsid w:val="0054526B"/>
    <w:rPr>
      <w:rFonts w:eastAsiaTheme="minorEastAsia"/>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4526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4526B"/>
    <w:rPr>
      <w:rFonts w:ascii="Times New Roman" w:eastAsiaTheme="minorEastAsia" w:hAnsi="Times New Roman"/>
      <w:sz w:val="20"/>
      <w:szCs w:val="20"/>
    </w:rPr>
  </w:style>
  <w:style w:type="character" w:styleId="FootnoteReference">
    <w:name w:val="footnote reference"/>
    <w:basedOn w:val="DefaultParagraphFont"/>
    <w:uiPriority w:val="99"/>
    <w:unhideWhenUsed/>
    <w:rsid w:val="0054526B"/>
    <w:rPr>
      <w:vertAlign w:val="superscript"/>
    </w:rPr>
  </w:style>
  <w:style w:type="paragraph" w:customStyle="1" w:styleId="Brieftext">
    <w:name w:val="Brief text"/>
    <w:basedOn w:val="Normal"/>
    <w:link w:val="BrieftextChar"/>
    <w:qFormat/>
    <w:rsid w:val="00E04E95"/>
    <w:pPr>
      <w:tabs>
        <w:tab w:val="left" w:pos="360"/>
      </w:tabs>
      <w:spacing w:before="120" w:after="0" w:line="240" w:lineRule="auto"/>
      <w:ind w:firstLine="360"/>
    </w:pPr>
    <w:rPr>
      <w:rFonts w:ascii="Times New Roman" w:hAnsi="Times New Roman" w:cs="Arial"/>
      <w:sz w:val="24"/>
      <w:szCs w:val="20"/>
    </w:rPr>
  </w:style>
  <w:style w:type="character" w:customStyle="1" w:styleId="BrieftextChar">
    <w:name w:val="Brief text Char"/>
    <w:basedOn w:val="DefaultParagraphFont"/>
    <w:link w:val="Brieftext"/>
    <w:rsid w:val="00E04E95"/>
    <w:rPr>
      <w:rFonts w:ascii="Times New Roman" w:eastAsiaTheme="minorEastAsia" w:hAnsi="Times New Roman" w:cs="Arial"/>
      <w:sz w:val="24"/>
      <w:szCs w:val="20"/>
    </w:rPr>
  </w:style>
  <w:style w:type="paragraph" w:customStyle="1" w:styleId="BriefHeading3">
    <w:name w:val="Brief Heading 3"/>
    <w:basedOn w:val="Normal"/>
    <w:next w:val="Brieftext"/>
    <w:link w:val="BriefHeading3Char"/>
    <w:qFormat/>
    <w:rsid w:val="005447AA"/>
    <w:pPr>
      <w:keepNext/>
      <w:widowControl w:val="0"/>
      <w:spacing w:before="120" w:after="0" w:line="240" w:lineRule="auto"/>
      <w:ind w:left="360"/>
    </w:pPr>
    <w:rPr>
      <w:rFonts w:ascii="Times New Roman" w:eastAsia="Times New Roman" w:hAnsi="Times New Roman"/>
      <w:i/>
      <w:color w:val="276297"/>
      <w:kern w:val="28"/>
      <w:sz w:val="24"/>
      <w:szCs w:val="19"/>
      <w14:ligatures w14:val="standard"/>
      <w14:cntxtAlts/>
    </w:rPr>
  </w:style>
  <w:style w:type="character" w:customStyle="1" w:styleId="BriefHeading3Char">
    <w:name w:val="Brief Heading 3 Char"/>
    <w:basedOn w:val="DefaultParagraphFont"/>
    <w:link w:val="BriefHeading3"/>
    <w:rsid w:val="005447AA"/>
    <w:rPr>
      <w:rFonts w:ascii="Times New Roman" w:eastAsia="Times New Roman" w:hAnsi="Times New Roman"/>
      <w:i/>
      <w:color w:val="276297"/>
      <w:kern w:val="28"/>
      <w:sz w:val="24"/>
      <w:szCs w:val="19"/>
      <w14:ligatures w14:val="standard"/>
      <w14:cntxtAlts/>
    </w:rPr>
  </w:style>
  <w:style w:type="paragraph" w:customStyle="1" w:styleId="BriefListBullet">
    <w:name w:val="Brief List Bullet"/>
    <w:basedOn w:val="Brieftext"/>
    <w:link w:val="BriefListBulletChar"/>
    <w:qFormat/>
    <w:rsid w:val="005447AA"/>
    <w:pPr>
      <w:numPr>
        <w:numId w:val="1"/>
      </w:numPr>
      <w:tabs>
        <w:tab w:val="clear" w:pos="360"/>
      </w:tabs>
      <w:ind w:left="648" w:hanging="288"/>
    </w:pPr>
  </w:style>
  <w:style w:type="character" w:customStyle="1" w:styleId="BriefListBulletChar">
    <w:name w:val="Brief List Bullet Char"/>
    <w:basedOn w:val="BrieftextChar"/>
    <w:link w:val="BriefListBullet"/>
    <w:rsid w:val="005447AA"/>
    <w:rPr>
      <w:rFonts w:ascii="Times New Roman" w:eastAsiaTheme="minorEastAsia" w:hAnsi="Times New Roman" w:cs="Arial"/>
      <w:sz w:val="24"/>
      <w:szCs w:val="20"/>
    </w:rPr>
  </w:style>
  <w:style w:type="character" w:styleId="PlaceholderText">
    <w:name w:val="Placeholder Text"/>
    <w:basedOn w:val="DefaultParagraphFont"/>
    <w:uiPriority w:val="99"/>
    <w:semiHidden/>
    <w:rsid w:val="0054526B"/>
    <w:rPr>
      <w:color w:val="808080"/>
    </w:rPr>
  </w:style>
  <w:style w:type="paragraph" w:customStyle="1" w:styleId="BriefListNumbers">
    <w:name w:val="Brief List Numbers"/>
    <w:basedOn w:val="BriefListBullet"/>
    <w:qFormat/>
    <w:rsid w:val="005447AA"/>
    <w:pPr>
      <w:numPr>
        <w:numId w:val="2"/>
      </w:numPr>
      <w:tabs>
        <w:tab w:val="num" w:pos="360"/>
      </w:tabs>
      <w:ind w:left="648" w:hanging="288"/>
    </w:pPr>
  </w:style>
  <w:style w:type="paragraph" w:customStyle="1" w:styleId="SummaryDate">
    <w:name w:val="Summary Date"/>
    <w:basedOn w:val="BriefSubtitle"/>
    <w:next w:val="Normal"/>
    <w:rsid w:val="00F26603"/>
    <w:rPr>
      <w:b/>
      <w:sz w:val="22"/>
    </w:rPr>
  </w:style>
  <w:style w:type="paragraph" w:customStyle="1" w:styleId="BriefSubtitle">
    <w:name w:val="Brief Subtitle"/>
    <w:basedOn w:val="BriefTitle"/>
    <w:qFormat/>
    <w:rsid w:val="00D56278"/>
    <w:rPr>
      <w:sz w:val="24"/>
      <w:szCs w:val="28"/>
    </w:rPr>
  </w:style>
  <w:style w:type="character" w:customStyle="1" w:styleId="Heading3Char">
    <w:name w:val="Heading 3 Char"/>
    <w:basedOn w:val="DefaultParagraphFont"/>
    <w:link w:val="Heading3"/>
    <w:uiPriority w:val="9"/>
    <w:semiHidden/>
    <w:rsid w:val="0054526B"/>
    <w:rPr>
      <w:rFonts w:asciiTheme="majorHAnsi" w:eastAsiaTheme="majorEastAsia" w:hAnsiTheme="majorHAnsi" w:cstheme="majorBidi"/>
      <w:color w:val="1F4D78" w:themeColor="accent1" w:themeShade="7F"/>
      <w:sz w:val="24"/>
      <w:szCs w:val="24"/>
    </w:rPr>
  </w:style>
  <w:style w:type="paragraph" w:customStyle="1" w:styleId="BriefHeading2">
    <w:name w:val="Brief Heading 2"/>
    <w:basedOn w:val="Heading2"/>
    <w:next w:val="Brieftext"/>
    <w:qFormat/>
    <w:rsid w:val="00D56278"/>
    <w:pPr>
      <w:spacing w:line="240" w:lineRule="auto"/>
    </w:pPr>
    <w:rPr>
      <w:rFonts w:ascii="Times New Roman" w:hAnsi="Times New Roman"/>
      <w:color w:val="276297"/>
      <w:sz w:val="28"/>
    </w:rPr>
  </w:style>
  <w:style w:type="paragraph" w:customStyle="1" w:styleId="Style">
    <w:name w:val="Style"/>
    <w:basedOn w:val="Brieftext"/>
    <w:rsid w:val="006A1855"/>
    <w:pPr>
      <w:spacing w:before="0" w:after="120"/>
    </w:pPr>
    <w:rPr>
      <w:rFonts w:eastAsia="Times New Roman" w:cs="Times New Roman"/>
    </w:rPr>
  </w:style>
  <w:style w:type="paragraph" w:styleId="Footer">
    <w:name w:val="footer"/>
    <w:basedOn w:val="Normal"/>
    <w:link w:val="FooterChar"/>
    <w:uiPriority w:val="99"/>
    <w:unhideWhenUsed/>
    <w:rsid w:val="00D80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A85"/>
    <w:rPr>
      <w:rFonts w:eastAsiaTheme="minorEastAsia"/>
    </w:rPr>
  </w:style>
  <w:style w:type="paragraph" w:customStyle="1" w:styleId="SummaryLocation">
    <w:name w:val="Summary Location"/>
    <w:basedOn w:val="BriefSubtitle"/>
    <w:rsid w:val="00F26603"/>
    <w:rPr>
      <w:b/>
      <w:sz w:val="22"/>
    </w:rPr>
  </w:style>
  <w:style w:type="paragraph" w:customStyle="1" w:styleId="BriefMonthYear">
    <w:name w:val="Brief Month Year"/>
    <w:basedOn w:val="BriefSubtitle"/>
    <w:qFormat/>
    <w:rsid w:val="00D52A13"/>
    <w:pPr>
      <w:spacing w:after="120"/>
    </w:pPr>
    <w:rPr>
      <w:color w:val="auto"/>
    </w:rPr>
  </w:style>
  <w:style w:type="paragraph" w:customStyle="1" w:styleId="BriefAuthor">
    <w:name w:val="Brief Author"/>
    <w:basedOn w:val="BriefSubtitle"/>
    <w:rsid w:val="00D56278"/>
    <w:pPr>
      <w:spacing w:after="120"/>
    </w:pPr>
    <w:rPr>
      <w:rFonts w:cs="Times New Roman"/>
      <w:bCs w:val="0"/>
      <w:szCs w:val="20"/>
    </w:rPr>
  </w:style>
  <w:style w:type="paragraph" w:styleId="CommentText">
    <w:name w:val="annotation text"/>
    <w:basedOn w:val="Normal"/>
    <w:link w:val="CommentTextChar"/>
    <w:uiPriority w:val="99"/>
    <w:semiHidden/>
    <w:unhideWhenUsed/>
    <w:rsid w:val="009406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406D3"/>
    <w:rPr>
      <w:rFonts w:ascii="Times New Roman" w:eastAsia="Times New Roman" w:hAnsi="Times New Roman" w:cs="Times New Roman"/>
      <w:sz w:val="20"/>
      <w:szCs w:val="20"/>
    </w:rPr>
  </w:style>
  <w:style w:type="paragraph" w:customStyle="1" w:styleId="BriefBoxQuote">
    <w:name w:val="Brief Box Quote"/>
    <w:basedOn w:val="Brieftext"/>
    <w:qFormat/>
    <w:rsid w:val="002035E8"/>
    <w:pPr>
      <w:ind w:left="1440" w:right="1440" w:firstLine="0"/>
    </w:pPr>
  </w:style>
  <w:style w:type="paragraph" w:customStyle="1" w:styleId="Briefcontactinfo">
    <w:name w:val="Brief contact info"/>
    <w:basedOn w:val="Normal"/>
    <w:link w:val="BriefcontactinfoChar"/>
    <w:autoRedefine/>
    <w:qFormat/>
    <w:rsid w:val="003A2511"/>
    <w:pPr>
      <w:tabs>
        <w:tab w:val="left" w:pos="360"/>
      </w:tabs>
      <w:spacing w:before="120" w:after="0" w:line="240" w:lineRule="auto"/>
    </w:pPr>
    <w:rPr>
      <w:rFonts w:ascii="Times New Roman" w:hAnsi="Times New Roman" w:cs="Arial"/>
      <w:sz w:val="24"/>
      <w:szCs w:val="20"/>
    </w:rPr>
  </w:style>
  <w:style w:type="character" w:customStyle="1" w:styleId="BriefcontactinfoChar">
    <w:name w:val="Brief contact info Char"/>
    <w:basedOn w:val="DefaultParagraphFont"/>
    <w:link w:val="Briefcontactinfo"/>
    <w:rsid w:val="003A2511"/>
    <w:rPr>
      <w:rFonts w:ascii="Times New Roman" w:eastAsiaTheme="minorEastAsia" w:hAnsi="Times New Roman" w:cs="Arial"/>
      <w:sz w:val="24"/>
      <w:szCs w:val="20"/>
    </w:rPr>
  </w:style>
  <w:style w:type="paragraph" w:styleId="EndnoteText">
    <w:name w:val="endnote text"/>
    <w:basedOn w:val="Normal"/>
    <w:link w:val="EndnoteTextChar"/>
    <w:uiPriority w:val="99"/>
    <w:semiHidden/>
    <w:unhideWhenUsed/>
    <w:rsid w:val="007B45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45D0"/>
    <w:rPr>
      <w:rFonts w:eastAsiaTheme="minorEastAsia"/>
      <w:sz w:val="20"/>
      <w:szCs w:val="20"/>
    </w:rPr>
  </w:style>
  <w:style w:type="character" w:styleId="EndnoteReference">
    <w:name w:val="endnote reference"/>
    <w:basedOn w:val="DefaultParagraphFont"/>
    <w:uiPriority w:val="99"/>
    <w:semiHidden/>
    <w:unhideWhenUsed/>
    <w:rsid w:val="007B45D0"/>
    <w:rPr>
      <w:vertAlign w:val="superscript"/>
    </w:rPr>
  </w:style>
  <w:style w:type="character" w:styleId="CommentReference">
    <w:name w:val="annotation reference"/>
    <w:basedOn w:val="DefaultParagraphFont"/>
    <w:uiPriority w:val="99"/>
    <w:semiHidden/>
    <w:unhideWhenUsed/>
    <w:rsid w:val="00244862"/>
    <w:rPr>
      <w:sz w:val="16"/>
      <w:szCs w:val="16"/>
    </w:rPr>
  </w:style>
  <w:style w:type="paragraph" w:styleId="CommentSubject">
    <w:name w:val="annotation subject"/>
    <w:basedOn w:val="CommentText"/>
    <w:next w:val="CommentText"/>
    <w:link w:val="CommentSubjectChar"/>
    <w:uiPriority w:val="99"/>
    <w:semiHidden/>
    <w:unhideWhenUsed/>
    <w:rsid w:val="00244862"/>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4486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44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86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derwood\Documents\Joe%20Misc\2022%20FOIA%20VA%20Supremer%20Ct%20Case%20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8B100C64B14C559909C616E115637D"/>
        <w:category>
          <w:name w:val="General"/>
          <w:gallery w:val="placeholder"/>
        </w:category>
        <w:types>
          <w:type w:val="bbPlcHdr"/>
        </w:types>
        <w:behaviors>
          <w:behavior w:val="content"/>
        </w:behaviors>
        <w:guid w:val="{4FEA6D20-5D9D-4381-B9A8-A02F4297D00D}"/>
      </w:docPartPr>
      <w:docPartBody>
        <w:p w:rsidR="000D325E" w:rsidRDefault="003951A4">
          <w:pPr>
            <w:pStyle w:val="098B100C64B14C559909C616E115637D"/>
          </w:pPr>
          <w:r w:rsidRPr="00D56278">
            <w:rPr>
              <w:rStyle w:val="BriefHeading1Char"/>
              <w:rFonts w:eastAsiaTheme="minorEastAsia"/>
            </w:rPr>
            <w:t>[Insert Document Title]</w:t>
          </w:r>
        </w:p>
      </w:docPartBody>
    </w:docPart>
    <w:docPart>
      <w:docPartPr>
        <w:name w:val="D8CC7734F9CD437FA68FC14636A66D86"/>
        <w:category>
          <w:name w:val="General"/>
          <w:gallery w:val="placeholder"/>
        </w:category>
        <w:types>
          <w:type w:val="bbPlcHdr"/>
        </w:types>
        <w:behaviors>
          <w:behavior w:val="content"/>
        </w:behaviors>
        <w:guid w:val="{218D7BF8-F110-4638-A59A-7E3DC1947569}"/>
      </w:docPartPr>
      <w:docPartBody>
        <w:p w:rsidR="000D325E" w:rsidRDefault="003951A4">
          <w:pPr>
            <w:pStyle w:val="D8CC7734F9CD437FA68FC14636A66D86"/>
          </w:pPr>
          <w:r w:rsidRPr="00A05E18">
            <w:rPr>
              <w:rFonts w:eastAsiaTheme="minorHAnsi"/>
            </w:rPr>
            <w:t>[</w:t>
          </w:r>
          <w:r>
            <w:rPr>
              <w:rFonts w:eastAsiaTheme="minorHAnsi"/>
            </w:rPr>
            <w:t xml:space="preserve">Brief </w:t>
          </w:r>
          <w:r w:rsidRPr="00A05E18">
            <w:rPr>
              <w:rFonts w:eastAsiaTheme="minorHAnsi"/>
            </w:rPr>
            <w:t>Subtitle style</w:t>
          </w:r>
          <w:r>
            <w:rPr>
              <w:rFonts w:eastAsiaTheme="minorHAnsi"/>
            </w:rPr>
            <w:t>,</w:t>
          </w:r>
          <w:r w:rsidRPr="00A05E18">
            <w:rPr>
              <w:rFonts w:eastAsiaTheme="minorHAnsi"/>
            </w:rPr>
            <w:t xml:space="preserve"> if applicable]</w:t>
          </w:r>
        </w:p>
      </w:docPartBody>
    </w:docPart>
    <w:docPart>
      <w:docPartPr>
        <w:name w:val="92724DED829547AB87F8168180C7EF54"/>
        <w:category>
          <w:name w:val="General"/>
          <w:gallery w:val="placeholder"/>
        </w:category>
        <w:types>
          <w:type w:val="bbPlcHdr"/>
        </w:types>
        <w:behaviors>
          <w:behavior w:val="content"/>
        </w:behaviors>
        <w:guid w:val="{EB7E4712-CA79-4EC8-9AB8-1DFAD0051BD7}"/>
      </w:docPartPr>
      <w:docPartBody>
        <w:p w:rsidR="000D325E" w:rsidRDefault="003951A4">
          <w:pPr>
            <w:pStyle w:val="92724DED829547AB87F8168180C7EF54"/>
          </w:pPr>
          <w:r w:rsidRPr="00A05E18">
            <w:rPr>
              <w:rFonts w:eastAsiaTheme="minorHAnsi"/>
            </w:rPr>
            <w:t>[</w:t>
          </w:r>
          <w:r>
            <w:rPr>
              <w:rFonts w:eastAsiaTheme="minorHAnsi"/>
            </w:rPr>
            <w:t>Month Year</w:t>
          </w:r>
          <w:r w:rsidRPr="00A05E18">
            <w:rPr>
              <w:rFonts w:eastAsiaTheme="minorHAnsi"/>
            </w:rPr>
            <w:t>]</w:t>
          </w:r>
        </w:p>
      </w:docPartBody>
    </w:docPart>
    <w:docPart>
      <w:docPartPr>
        <w:name w:val="60FCF4B64F1B427EB6A1F117E93B3D46"/>
        <w:category>
          <w:name w:val="General"/>
          <w:gallery w:val="placeholder"/>
        </w:category>
        <w:types>
          <w:type w:val="bbPlcHdr"/>
        </w:types>
        <w:behaviors>
          <w:behavior w:val="content"/>
        </w:behaviors>
        <w:guid w:val="{29F3E03D-CBFF-4F64-9FB5-5FED624E7B60}"/>
      </w:docPartPr>
      <w:docPartBody>
        <w:p w:rsidR="000D325E" w:rsidRDefault="003951A4">
          <w:pPr>
            <w:pStyle w:val="60FCF4B64F1B427EB6A1F117E93B3D46"/>
          </w:pPr>
          <w:r w:rsidRPr="00A05E18">
            <w:rPr>
              <w:rFonts w:eastAsiaTheme="minorHAnsi"/>
            </w:rPr>
            <w:t>[</w:t>
          </w:r>
          <w:r>
            <w:rPr>
              <w:rFonts w:eastAsiaTheme="minorHAnsi"/>
            </w:rPr>
            <w:t>Author, Job Title</w:t>
          </w:r>
          <w:r w:rsidRPr="00A05E18">
            <w:rPr>
              <w:rFonts w:eastAsiaTheme="minorHAnsi"/>
            </w:rPr>
            <w:t>]</w:t>
          </w:r>
        </w:p>
      </w:docPartBody>
    </w:docPart>
    <w:docPart>
      <w:docPartPr>
        <w:name w:val="13CDA0EB411340AEB1545F5F0249B436"/>
        <w:category>
          <w:name w:val="General"/>
          <w:gallery w:val="placeholder"/>
        </w:category>
        <w:types>
          <w:type w:val="bbPlcHdr"/>
        </w:types>
        <w:behaviors>
          <w:behavior w:val="content"/>
        </w:behaviors>
        <w:guid w:val="{C96EA5F2-5D54-48E0-8E07-7597AD24C1AB}"/>
      </w:docPartPr>
      <w:docPartBody>
        <w:p w:rsidR="000D325E" w:rsidRDefault="003951A4">
          <w:pPr>
            <w:pStyle w:val="13CDA0EB411340AEB1545F5F0249B436"/>
          </w:pPr>
          <w:r>
            <w:rPr>
              <w:rStyle w:val="PlaceholderText"/>
            </w:rPr>
            <w:t>[Name, Title]</w:t>
          </w:r>
        </w:p>
      </w:docPartBody>
    </w:docPart>
    <w:docPart>
      <w:docPartPr>
        <w:name w:val="072264817B2447BABE2F8FA09F40333E"/>
        <w:category>
          <w:name w:val="General"/>
          <w:gallery w:val="placeholder"/>
        </w:category>
        <w:types>
          <w:type w:val="bbPlcHdr"/>
        </w:types>
        <w:behaviors>
          <w:behavior w:val="content"/>
        </w:behaviors>
        <w:guid w:val="{A79D2493-7041-49A9-B2B6-B3BD90743291}"/>
      </w:docPartPr>
      <w:docPartBody>
        <w:p w:rsidR="000D325E" w:rsidRDefault="003951A4">
          <w:pPr>
            <w:pStyle w:val="072264817B2447BABE2F8FA09F40333E"/>
          </w:pPr>
          <w:r>
            <w:rPr>
              <w:rStyle w:val="PlaceholderText"/>
            </w:rPr>
            <w:t>[email]</w:t>
          </w:r>
        </w:p>
      </w:docPartBody>
    </w:docPart>
    <w:docPart>
      <w:docPartPr>
        <w:name w:val="8755CDC40E3441ADB76EDDC5C9B949EC"/>
        <w:category>
          <w:name w:val="General"/>
          <w:gallery w:val="placeholder"/>
        </w:category>
        <w:types>
          <w:type w:val="bbPlcHdr"/>
        </w:types>
        <w:behaviors>
          <w:behavior w:val="content"/>
        </w:behaviors>
        <w:guid w:val="{8FA318AE-B236-43FB-BD2A-27A76D15D3CC}"/>
      </w:docPartPr>
      <w:docPartBody>
        <w:p w:rsidR="000D325E" w:rsidRDefault="003951A4">
          <w:pPr>
            <w:pStyle w:val="8755CDC40E3441ADB76EDDC5C9B949EC"/>
          </w:pPr>
          <w:r>
            <w:rPr>
              <w:rStyle w:val="PlaceholderText"/>
            </w:rPr>
            <w:t>[I</w:t>
          </w:r>
          <w:r w:rsidRPr="000564A8">
            <w:rPr>
              <w:rStyle w:val="PlaceholderText"/>
            </w:rPr>
            <w:t>nsert number</w:t>
          </w:r>
          <w:r>
            <w:rPr>
              <w:rStyle w:val="PlaceholderText"/>
            </w:rPr>
            <w:t>]</w:t>
          </w:r>
        </w:p>
      </w:docPartBody>
    </w:docPart>
    <w:docPart>
      <w:docPartPr>
        <w:name w:val="FB78141BBE174670A34D334A96855F94"/>
        <w:category>
          <w:name w:val="General"/>
          <w:gallery w:val="placeholder"/>
        </w:category>
        <w:types>
          <w:type w:val="bbPlcHdr"/>
        </w:types>
        <w:behaviors>
          <w:behavior w:val="content"/>
        </w:behaviors>
        <w:guid w:val="{23456DF0-8A41-4652-9807-A7E35E0D054B}"/>
      </w:docPartPr>
      <w:docPartBody>
        <w:p w:rsidR="000D325E" w:rsidRDefault="003951A4">
          <w:pPr>
            <w:pStyle w:val="FB78141BBE174670A34D334A96855F94"/>
          </w:pPr>
          <w:r>
            <w:rPr>
              <w:rStyle w:val="PlaceholderText"/>
            </w:rPr>
            <w:t>[Name, Title]</w:t>
          </w:r>
        </w:p>
      </w:docPartBody>
    </w:docPart>
    <w:docPart>
      <w:docPartPr>
        <w:name w:val="5E0FEF5ED7AA43768E5F032E5BB6521B"/>
        <w:category>
          <w:name w:val="General"/>
          <w:gallery w:val="placeholder"/>
        </w:category>
        <w:types>
          <w:type w:val="bbPlcHdr"/>
        </w:types>
        <w:behaviors>
          <w:behavior w:val="content"/>
        </w:behaviors>
        <w:guid w:val="{5473EF33-1DB9-4777-A298-6AA41F429962}"/>
      </w:docPartPr>
      <w:docPartBody>
        <w:p w:rsidR="000D325E" w:rsidRDefault="003951A4">
          <w:pPr>
            <w:pStyle w:val="5E0FEF5ED7AA43768E5F032E5BB6521B"/>
          </w:pPr>
          <w:r>
            <w:rPr>
              <w:rStyle w:val="PlaceholderText"/>
            </w:rPr>
            <w:t>[email]</w:t>
          </w:r>
        </w:p>
      </w:docPartBody>
    </w:docPart>
    <w:docPart>
      <w:docPartPr>
        <w:name w:val="240EB47223F445BD82091936675C03E3"/>
        <w:category>
          <w:name w:val="General"/>
          <w:gallery w:val="placeholder"/>
        </w:category>
        <w:types>
          <w:type w:val="bbPlcHdr"/>
        </w:types>
        <w:behaviors>
          <w:behavior w:val="content"/>
        </w:behaviors>
        <w:guid w:val="{94E64C82-298D-4689-A438-970E33280B03}"/>
      </w:docPartPr>
      <w:docPartBody>
        <w:p w:rsidR="000D325E" w:rsidRDefault="003951A4">
          <w:pPr>
            <w:pStyle w:val="240EB47223F445BD82091936675C03E3"/>
          </w:pPr>
          <w:r>
            <w:rPr>
              <w:rStyle w:val="PlaceholderText"/>
            </w:rPr>
            <w:t>[I</w:t>
          </w:r>
          <w:r w:rsidRPr="000564A8">
            <w:rPr>
              <w:rStyle w:val="PlaceholderText"/>
            </w:rPr>
            <w:t>nsert number</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A4"/>
    <w:rsid w:val="000D325E"/>
    <w:rsid w:val="000E54BD"/>
    <w:rsid w:val="003951A4"/>
    <w:rsid w:val="004204A3"/>
    <w:rsid w:val="00BE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Heading1">
    <w:name w:val="Brief Heading 1"/>
    <w:basedOn w:val="Heading3"/>
    <w:link w:val="BriefHeading1Char"/>
    <w:qFormat/>
    <w:pPr>
      <w:keepLines w:val="0"/>
      <w:widowControl w:val="0"/>
      <w:spacing w:before="120" w:line="240" w:lineRule="auto"/>
      <w:jc w:val="center"/>
    </w:pPr>
    <w:rPr>
      <w:rFonts w:ascii="Times New Roman" w:eastAsia="Times New Roman" w:hAnsi="Times New Roman"/>
      <w:bCs/>
      <w:color w:val="276297"/>
      <w:spacing w:val="18"/>
      <w:kern w:val="28"/>
      <w:sz w:val="36"/>
      <w:szCs w:val="56"/>
      <w14:cntxtAlts/>
    </w:rPr>
  </w:style>
  <w:style w:type="character" w:customStyle="1" w:styleId="BriefHeading1Char">
    <w:name w:val="Brief Heading 1 Char"/>
    <w:basedOn w:val="Heading3Char"/>
    <w:link w:val="BriefHeading1"/>
    <w:rPr>
      <w:rFonts w:ascii="Times New Roman" w:eastAsia="Times New Roman" w:hAnsi="Times New Roman" w:cstheme="majorBidi"/>
      <w:bCs/>
      <w:color w:val="276297"/>
      <w:spacing w:val="18"/>
      <w:kern w:val="28"/>
      <w:sz w:val="36"/>
      <w:szCs w:val="56"/>
      <w14:cntxtAlt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098B100C64B14C559909C616E115637D">
    <w:name w:val="098B100C64B14C559909C616E115637D"/>
  </w:style>
  <w:style w:type="paragraph" w:customStyle="1" w:styleId="D8CC7734F9CD437FA68FC14636A66D86">
    <w:name w:val="D8CC7734F9CD437FA68FC14636A66D86"/>
  </w:style>
  <w:style w:type="paragraph" w:customStyle="1" w:styleId="92724DED829547AB87F8168180C7EF54">
    <w:name w:val="92724DED829547AB87F8168180C7EF54"/>
  </w:style>
  <w:style w:type="paragraph" w:customStyle="1" w:styleId="60FCF4B64F1B427EB6A1F117E93B3D46">
    <w:name w:val="60FCF4B64F1B427EB6A1F117E93B3D46"/>
  </w:style>
  <w:style w:type="character" w:styleId="PlaceholderText">
    <w:name w:val="Placeholder Text"/>
    <w:basedOn w:val="DefaultParagraphFont"/>
    <w:uiPriority w:val="99"/>
    <w:semiHidden/>
    <w:rPr>
      <w:color w:val="808080"/>
    </w:rPr>
  </w:style>
  <w:style w:type="paragraph" w:customStyle="1" w:styleId="13CDA0EB411340AEB1545F5F0249B436">
    <w:name w:val="13CDA0EB411340AEB1545F5F0249B436"/>
  </w:style>
  <w:style w:type="paragraph" w:customStyle="1" w:styleId="072264817B2447BABE2F8FA09F40333E">
    <w:name w:val="072264817B2447BABE2F8FA09F40333E"/>
  </w:style>
  <w:style w:type="paragraph" w:customStyle="1" w:styleId="8755CDC40E3441ADB76EDDC5C9B949EC">
    <w:name w:val="8755CDC40E3441ADB76EDDC5C9B949EC"/>
  </w:style>
  <w:style w:type="paragraph" w:customStyle="1" w:styleId="FB78141BBE174670A34D334A96855F94">
    <w:name w:val="FB78141BBE174670A34D334A96855F94"/>
  </w:style>
  <w:style w:type="paragraph" w:customStyle="1" w:styleId="5E0FEF5ED7AA43768E5F032E5BB6521B">
    <w:name w:val="5E0FEF5ED7AA43768E5F032E5BB6521B"/>
  </w:style>
  <w:style w:type="paragraph" w:customStyle="1" w:styleId="240EB47223F445BD82091936675C03E3">
    <w:name w:val="240EB47223F445BD82091936675C0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77E6-2990-417B-BF74-4D2551E8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FOIA VA Supremer Ct Case analysis.dotx</Template>
  <TotalTime>0</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Underwood</dc:creator>
  <cp:keywords/>
  <dc:description/>
  <cp:lastModifiedBy>Joe Underwood</cp:lastModifiedBy>
  <cp:revision>2</cp:revision>
  <cp:lastPrinted>2019-07-29T22:30:00Z</cp:lastPrinted>
  <dcterms:created xsi:type="dcterms:W3CDTF">2022-12-13T18:21:00Z</dcterms:created>
  <dcterms:modified xsi:type="dcterms:W3CDTF">2022-12-13T18:21:00Z</dcterms:modified>
</cp:coreProperties>
</file>