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9D" w:rsidRDefault="00A70F81" w:rsidP="00AE6C9D">
      <w:pPr>
        <w:widowControl w:val="0"/>
        <w:autoSpaceDE w:val="0"/>
        <w:autoSpaceDN w:val="0"/>
        <w:adjustRightInd w:val="0"/>
        <w:jc w:val="center"/>
        <w:rPr>
          <w:b/>
          <w:bCs/>
          <w:sz w:val="36"/>
        </w:rPr>
      </w:pPr>
      <w:bookmarkStart w:id="0" w:name="_GoBack"/>
      <w:bookmarkEnd w:id="0"/>
      <w:r>
        <w:rPr>
          <w:noProof/>
          <w:sz w:val="20"/>
        </w:rPr>
        <w:drawing>
          <wp:anchor distT="0" distB="0" distL="114300" distR="114300" simplePos="0" relativeHeight="251657728" behindDoc="0" locked="0" layoutInCell="1" allowOverlap="1" wp14:anchorId="6DD29AA4" wp14:editId="43837572">
            <wp:simplePos x="0" y="0"/>
            <wp:positionH relativeFrom="column">
              <wp:posOffset>93345</wp:posOffset>
            </wp:positionH>
            <wp:positionV relativeFrom="paragraph">
              <wp:posOffset>-66675</wp:posOffset>
            </wp:positionV>
            <wp:extent cx="1506855" cy="1144270"/>
            <wp:effectExtent l="0" t="0" r="0" b="0"/>
            <wp:wrapTight wrapText="bothSides">
              <wp:wrapPolygon edited="1">
                <wp:start x="8192" y="0"/>
                <wp:lineTo x="0" y="1079"/>
                <wp:lineTo x="0" y="5754"/>
                <wp:lineTo x="3823" y="11507"/>
                <wp:lineTo x="4096" y="17261"/>
                <wp:lineTo x="3004" y="21216"/>
                <wp:lineTo x="20480" y="21216"/>
                <wp:lineTo x="20753" y="21216"/>
                <wp:lineTo x="19388" y="17261"/>
                <wp:lineTo x="20207" y="10069"/>
                <wp:lineTo x="19388" y="8990"/>
                <wp:lineTo x="12834" y="5754"/>
                <wp:lineTo x="20849" y="5616"/>
                <wp:lineTo x="14746" y="1079"/>
                <wp:lineTo x="10104" y="0"/>
                <wp:lineTo x="8192" y="0"/>
              </wp:wrapPolygon>
            </wp:wrapTight>
            <wp:docPr id="2" name="Picture 2" descr="sun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ri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685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2B" w:rsidRPr="004A28CB">
        <w:rPr>
          <w:b/>
          <w:bCs/>
          <w:sz w:val="36"/>
        </w:rPr>
        <w:t>EM</w:t>
      </w:r>
      <w:r w:rsidR="00166D6E" w:rsidRPr="004A28CB">
        <w:rPr>
          <w:b/>
          <w:bCs/>
          <w:sz w:val="36"/>
        </w:rPr>
        <w:t>AIL &amp; MEETINGS</w:t>
      </w:r>
    </w:p>
    <w:p w:rsidR="00AE6C9D" w:rsidRDefault="00166D6E" w:rsidP="00AE6C9D">
      <w:pPr>
        <w:jc w:val="center"/>
        <w:rPr>
          <w:b/>
          <w:bCs/>
          <w:sz w:val="36"/>
        </w:rPr>
      </w:pPr>
      <w:r w:rsidRPr="004A28CB">
        <w:rPr>
          <w:b/>
          <w:bCs/>
          <w:sz w:val="36"/>
        </w:rPr>
        <w:t>under the</w:t>
      </w:r>
    </w:p>
    <w:p w:rsidR="00166D6E" w:rsidRPr="004A28CB" w:rsidRDefault="00166D6E" w:rsidP="00AE6C9D">
      <w:pPr>
        <w:jc w:val="center"/>
        <w:rPr>
          <w:b/>
          <w:bCs/>
          <w:sz w:val="36"/>
        </w:rPr>
      </w:pPr>
      <w:r w:rsidRPr="004A28CB">
        <w:rPr>
          <w:b/>
          <w:bCs/>
          <w:sz w:val="36"/>
        </w:rPr>
        <w:t>VIRGINIA FREEDOM OF INFORMATION ACT</w:t>
      </w:r>
    </w:p>
    <w:p w:rsidR="00166D6E" w:rsidRDefault="00552689" w:rsidP="00DC09D9">
      <w:pPr>
        <w:widowControl w:val="0"/>
        <w:pBdr>
          <w:bottom w:val="thinThickThinSmallGap" w:sz="24" w:space="1" w:color="auto"/>
        </w:pBdr>
        <w:autoSpaceDE w:val="0"/>
        <w:autoSpaceDN w:val="0"/>
        <w:adjustRightInd w:val="0"/>
        <w:spacing w:before="120"/>
      </w:pPr>
      <w:r>
        <w:pict>
          <v:rect id="_x0000_i1025" style="width:0;height:1.5pt" o:hralign="center" o:hrstd="t" o:hr="t" fillcolor="gray" stroked="f"/>
        </w:pict>
      </w:r>
    </w:p>
    <w:p w:rsidR="00166D6E" w:rsidRPr="00523BFA" w:rsidRDefault="00166D6E" w:rsidP="00523BFA">
      <w:pPr>
        <w:widowControl w:val="0"/>
        <w:autoSpaceDE w:val="0"/>
        <w:autoSpaceDN w:val="0"/>
        <w:adjustRightInd w:val="0"/>
        <w:spacing w:before="360"/>
        <w:jc w:val="center"/>
        <w:rPr>
          <w:b/>
          <w:bCs/>
        </w:rPr>
      </w:pPr>
      <w:r>
        <w:rPr>
          <w:b/>
          <w:bCs/>
        </w:rPr>
        <w:t>I. Introduction</w:t>
      </w:r>
    </w:p>
    <w:p w:rsidR="00166D6E" w:rsidRDefault="00166D6E" w:rsidP="00523BFA">
      <w:pPr>
        <w:widowControl w:val="0"/>
        <w:autoSpaceDE w:val="0"/>
        <w:autoSpaceDN w:val="0"/>
        <w:adjustRightInd w:val="0"/>
        <w:spacing w:before="240"/>
      </w:pPr>
      <w:r>
        <w:t>As technology advances, new and efficient way</w:t>
      </w:r>
      <w:r w:rsidR="00E81CDA">
        <w:t xml:space="preserve">s to communicate have evolved. </w:t>
      </w:r>
      <w:r>
        <w:t>Perhaps the most prevalent advancement in carrying out day-to-day communications</w:t>
      </w:r>
      <w:r w:rsidR="0066432B">
        <w:t xml:space="preserve"> at work or at home is </w:t>
      </w:r>
      <w:r w:rsidR="00521594">
        <w:t>electronic mail ("</w:t>
      </w:r>
      <w:r w:rsidR="0066432B">
        <w:t>e</w:t>
      </w:r>
      <w:r w:rsidR="00523BFA">
        <w:t>mail</w:t>
      </w:r>
      <w:r w:rsidR="00521594">
        <w:t>")</w:t>
      </w:r>
      <w:r w:rsidR="00523BFA">
        <w:t xml:space="preserve">. </w:t>
      </w:r>
      <w:r w:rsidR="0066432B">
        <w:t>E</w:t>
      </w:r>
      <w:r>
        <w:t xml:space="preserve">mail </w:t>
      </w:r>
      <w:r w:rsidR="006266D5">
        <w:t>can be used</w:t>
      </w:r>
      <w:r>
        <w:t xml:space="preserve"> to send correspondence on a one-to-one or one-to</w:t>
      </w:r>
      <w:r w:rsidR="00523BFA">
        <w:t xml:space="preserve">-many basis over the computer. </w:t>
      </w:r>
      <w:r w:rsidR="0066432B">
        <w:t>Each user has an e</w:t>
      </w:r>
      <w:r>
        <w:t>mail address, and messages received at that address are stored in electronic mailboxes until the re</w:t>
      </w:r>
      <w:r w:rsidR="00523BFA">
        <w:t xml:space="preserve">cipient retrieves the message. </w:t>
      </w:r>
      <w:r>
        <w:t xml:space="preserve">After reading the message, the user may save it on his computer, </w:t>
      </w:r>
      <w:r w:rsidR="006266D5">
        <w:t xml:space="preserve">print it, </w:t>
      </w:r>
      <w:r w:rsidR="0066432B">
        <w:t>forward it to other e</w:t>
      </w:r>
      <w:r>
        <w:t>mail addresses, respond to the sender, respond to the sender and</w:t>
      </w:r>
      <w:r w:rsidR="0066432B">
        <w:t xml:space="preserve"> other recipients of the same e</w:t>
      </w:r>
      <w:r>
        <w:t>mail, or delete it.</w:t>
      </w:r>
    </w:p>
    <w:p w:rsidR="00166D6E" w:rsidRDefault="0066432B" w:rsidP="00523BFA">
      <w:pPr>
        <w:widowControl w:val="0"/>
        <w:autoSpaceDE w:val="0"/>
        <w:autoSpaceDN w:val="0"/>
        <w:adjustRightInd w:val="0"/>
        <w:spacing w:before="240"/>
        <w:ind w:firstLine="720"/>
      </w:pPr>
      <w:r>
        <w:t>The use of e</w:t>
      </w:r>
      <w:r w:rsidR="00166D6E">
        <w:t>mail can blur the line between correspond</w:t>
      </w:r>
      <w:r w:rsidR="00523BFA">
        <w:t xml:space="preserve">ence and a meeting under FOIA. </w:t>
      </w:r>
      <w:r>
        <w:t>E</w:t>
      </w:r>
      <w:r w:rsidR="00166D6E">
        <w:t>mail is similar to traditional paper correspondence in many ways and is a written form of communication that is by d</w:t>
      </w:r>
      <w:r w:rsidR="00523BFA">
        <w:t xml:space="preserve">efinition a record under FOIA. </w:t>
      </w:r>
      <w:r w:rsidR="00166D6E">
        <w:t xml:space="preserve">However, </w:t>
      </w:r>
      <w:r>
        <w:t>from a practical perspective, e</w:t>
      </w:r>
      <w:r w:rsidR="00166D6E">
        <w:t xml:space="preserve">mail is often used as a substitute for a phone call and can be used to communicate quickly with multiple people at once, making it more akin to a meeting. While FOIA addresses electronic meetings held by audio or audio/visual means, it does not </w:t>
      </w:r>
      <w:r>
        <w:t>explicitly address the use of e</w:t>
      </w:r>
      <w:r w:rsidR="00166D6E">
        <w:t>mail in a meetings context.</w:t>
      </w:r>
      <w:r w:rsidR="00166D6E">
        <w:rPr>
          <w:rStyle w:val="FootnoteReference"/>
        </w:rPr>
        <w:footnoteReference w:id="1"/>
      </w:r>
      <w:r w:rsidR="00523BFA">
        <w:t xml:space="preserve"> </w:t>
      </w:r>
      <w:r w:rsidR="001B3484">
        <w:t>In 2004, t</w:t>
      </w:r>
      <w:r w:rsidR="00166D6E">
        <w:t xml:space="preserve">he Virginia Supreme Court, however, </w:t>
      </w:r>
      <w:r w:rsidR="001B3484">
        <w:t>examined</w:t>
      </w:r>
      <w:r w:rsidR="00166D6E">
        <w:t xml:space="preserve"> whether the exchange of </w:t>
      </w:r>
      <w:r>
        <w:t>e</w:t>
      </w:r>
      <w:r w:rsidR="00166D6E">
        <w:t>mails</w:t>
      </w:r>
      <w:r w:rsidR="00BC0536">
        <w:t xml:space="preserve"> among</w:t>
      </w:r>
      <w:r w:rsidR="00166D6E">
        <w:t xml:space="preserve"> members of a city council could constitute a meeting under FOIA. A review of the Supreme Court's decision </w:t>
      </w:r>
      <w:r w:rsidR="00523BFA">
        <w:t xml:space="preserve">follows under the heading "II. </w:t>
      </w:r>
      <w:r w:rsidR="00166D6E">
        <w:t xml:space="preserve">The Impact of the Virginia Supreme </w:t>
      </w:r>
      <w:r w:rsidR="00532801">
        <w:t xml:space="preserve">Court </w:t>
      </w:r>
      <w:r w:rsidR="00D25E5D">
        <w:t>D</w:t>
      </w:r>
      <w:r w:rsidR="00166D6E">
        <w:t xml:space="preserve">ecision in </w:t>
      </w:r>
      <w:r w:rsidR="00166D6E">
        <w:rPr>
          <w:i/>
          <w:iCs/>
        </w:rPr>
        <w:t>Beck v. Shelton</w:t>
      </w:r>
      <w:r w:rsidR="00166D6E">
        <w:t xml:space="preserve">." </w:t>
      </w:r>
      <w:r w:rsidR="00532801">
        <w:t>The Court revisited the issue in 2012, examining whether an exchange of emails among School Board members con</w:t>
      </w:r>
      <w:r w:rsidR="00523BFA">
        <w:t xml:space="preserve">stituted a meeting under FOIA. </w:t>
      </w:r>
      <w:r w:rsidR="00532801">
        <w:t xml:space="preserve">A review </w:t>
      </w:r>
      <w:r w:rsidR="002C6864">
        <w:t xml:space="preserve">of </w:t>
      </w:r>
      <w:r w:rsidR="00532801">
        <w:t>that decision a</w:t>
      </w:r>
      <w:r w:rsidR="00523BFA">
        <w:t xml:space="preserve">ppears under the heading "III. </w:t>
      </w:r>
      <w:r w:rsidR="00532801">
        <w:t xml:space="preserve">The Impact of the Virginia Supreme Court Decision in </w:t>
      </w:r>
      <w:r w:rsidR="00532801">
        <w:rPr>
          <w:i/>
        </w:rPr>
        <w:t>Hill v. Fairfax County School Board</w:t>
      </w:r>
      <w:r w:rsidR="00532801">
        <w:t>."</w:t>
      </w:r>
    </w:p>
    <w:p w:rsidR="00166D6E" w:rsidRDefault="0066432B" w:rsidP="00055143">
      <w:pPr>
        <w:widowControl w:val="0"/>
        <w:autoSpaceDE w:val="0"/>
        <w:autoSpaceDN w:val="0"/>
        <w:adjustRightInd w:val="0"/>
        <w:spacing w:before="240"/>
        <w:ind w:firstLine="720"/>
      </w:pPr>
      <w:r>
        <w:t>The use of e</w:t>
      </w:r>
      <w:r w:rsidR="00166D6E">
        <w:t>mail by public officia</w:t>
      </w:r>
      <w:r w:rsidR="00523BFA">
        <w:t xml:space="preserve">ls is clearly allowed by FOIA. </w:t>
      </w:r>
      <w:r w:rsidR="00166D6E">
        <w:t>One member of a</w:t>
      </w:r>
      <w:r>
        <w:t xml:space="preserve"> public body may individually e</w:t>
      </w:r>
      <w:r w:rsidR="00166D6E">
        <w:t>ma</w:t>
      </w:r>
      <w:r>
        <w:t>il other members, even if the e</w:t>
      </w:r>
      <w:r w:rsidR="00166D6E">
        <w:t>mail relates to public business</w:t>
      </w:r>
      <w:r w:rsidR="00DF1CE9">
        <w:t>.</w:t>
      </w:r>
      <w:r w:rsidR="00166D6E">
        <w:rPr>
          <w:rStyle w:val="FootnoteReference"/>
        </w:rPr>
        <w:footnoteReference w:id="2"/>
      </w:r>
      <w:r w:rsidR="00523BFA">
        <w:t xml:space="preserve"> </w:t>
      </w:r>
      <w:r w:rsidR="00166D6E">
        <w:t>Questions arise based on the manner in whi</w:t>
      </w:r>
      <w:r>
        <w:t>ch a recipient responds to an e</w:t>
      </w:r>
      <w:r w:rsidR="00166D6E">
        <w:t xml:space="preserve">mail </w:t>
      </w:r>
      <w:r w:rsidR="00166D6E">
        <w:lastRenderedPageBreak/>
        <w:t xml:space="preserve">addressed to three or </w:t>
      </w:r>
      <w:r w:rsidR="00055143">
        <w:t xml:space="preserve">more members of a public body. </w:t>
      </w:r>
      <w:r w:rsidR="00166D6E">
        <w:t>When responding to a</w:t>
      </w:r>
      <w:r>
        <w:t>n e</w:t>
      </w:r>
      <w:r w:rsidR="001B3484">
        <w:t>mail, it is possible to "re</w:t>
      </w:r>
      <w:r w:rsidR="00166D6E">
        <w:t>p</w:t>
      </w:r>
      <w:r w:rsidR="001B3484">
        <w:t>ly to sender" or to "re</w:t>
      </w:r>
      <w:r w:rsidR="00166D6E">
        <w:t>p</w:t>
      </w:r>
      <w:r w:rsidR="001B3484">
        <w:t>ly to all</w:t>
      </w:r>
      <w:r w:rsidR="00055143">
        <w:t xml:space="preserve">." </w:t>
      </w:r>
      <w:r w:rsidR="00166D6E">
        <w:t>If a recipie</w:t>
      </w:r>
      <w:r w:rsidR="001B3484">
        <w:t>nt chooses "re</w:t>
      </w:r>
      <w:r w:rsidR="00166D6E">
        <w:t>p</w:t>
      </w:r>
      <w:r w:rsidR="001B3484">
        <w:t>ly</w:t>
      </w:r>
      <w:r w:rsidR="00166D6E">
        <w:t xml:space="preserve"> to all," then three or more members of a public body </w:t>
      </w:r>
      <w:r w:rsidR="00867C8E">
        <w:t>will see not only the initial e</w:t>
      </w:r>
      <w:r w:rsidR="00166D6E">
        <w:t>mail, but a</w:t>
      </w:r>
      <w:r w:rsidR="00055143">
        <w:t xml:space="preserve">lso another member's response. </w:t>
      </w:r>
      <w:r w:rsidR="00166D6E">
        <w:t xml:space="preserve">Other members could </w:t>
      </w:r>
      <w:r w:rsidR="00867C8E">
        <w:t>then, in turn, respond to the e</w:t>
      </w:r>
      <w:r w:rsidR="00055143">
        <w:t xml:space="preserve">mail or the ensuing responses. </w:t>
      </w:r>
      <w:r w:rsidR="00166D6E">
        <w:t xml:space="preserve">In the end, three or more members of a public body could have used the chain </w:t>
      </w:r>
      <w:r w:rsidR="00867C8E">
        <w:t>of e</w:t>
      </w:r>
      <w:r w:rsidR="00166D6E">
        <w:t>mail to discuss, and possibly reach a conclusion about</w:t>
      </w:r>
      <w:r w:rsidR="00867C8E">
        <w:t>,</w:t>
      </w:r>
      <w:r w:rsidR="00166D6E">
        <w:t xml:space="preserve"> a matter relating to the transaction of public business.</w:t>
      </w:r>
      <w:r w:rsidR="00166D6E">
        <w:rPr>
          <w:rStyle w:val="FootnoteReference"/>
        </w:rPr>
        <w:footnoteReference w:id="3"/>
      </w:r>
    </w:p>
    <w:p w:rsidR="00166D6E" w:rsidRDefault="00255E0E" w:rsidP="00055143">
      <w:pPr>
        <w:widowControl w:val="0"/>
        <w:autoSpaceDE w:val="0"/>
        <w:autoSpaceDN w:val="0"/>
        <w:adjustRightInd w:val="0"/>
        <w:spacing w:before="240"/>
        <w:ind w:firstLine="720"/>
      </w:pPr>
      <w:r>
        <w:t>A</w:t>
      </w:r>
      <w:r w:rsidR="00166D6E">
        <w:t xml:space="preserve"> meeting, as defined in FOIA, refe</w:t>
      </w:r>
      <w:r>
        <w:t xml:space="preserve">rs to a simultaneous discussion, but </w:t>
      </w:r>
      <w:r w:rsidR="00867C8E">
        <w:t>the use of e</w:t>
      </w:r>
      <w:r w:rsidR="00166D6E">
        <w:t>mail is not necessa</w:t>
      </w:r>
      <w:r w:rsidR="00867C8E">
        <w:t>rily simultaneous among users. If a user only checks his e</w:t>
      </w:r>
      <w:r w:rsidR="00166D6E">
        <w:t xml:space="preserve">mail once a day, 24 hours </w:t>
      </w:r>
      <w:r w:rsidR="00867C8E">
        <w:t xml:space="preserve">could pass between an initial email and a response. </w:t>
      </w:r>
      <w:r w:rsidR="00166D6E">
        <w:t>However, it is also possible for users to be logged into the</w:t>
      </w:r>
      <w:r w:rsidR="00867C8E">
        <w:t>ir e</w:t>
      </w:r>
      <w:r w:rsidR="00166D6E">
        <w:t>mail system at the same t</w:t>
      </w:r>
      <w:r w:rsidR="00867C8E">
        <w:t>ime, and the lag time between e</w:t>
      </w:r>
      <w:r w:rsidR="00166D6E">
        <w:t>mails might only be the time that it takes to compose a response and hit send.</w:t>
      </w:r>
    </w:p>
    <w:p w:rsidR="00810CAF" w:rsidRDefault="00B46206" w:rsidP="00DF72BA">
      <w:pPr>
        <w:widowControl w:val="0"/>
        <w:autoSpaceDE w:val="0"/>
        <w:autoSpaceDN w:val="0"/>
        <w:adjustRightInd w:val="0"/>
        <w:spacing w:before="360"/>
        <w:jc w:val="center"/>
        <w:rPr>
          <w:b/>
          <w:bCs/>
        </w:rPr>
      </w:pPr>
      <w:r>
        <w:rPr>
          <w:b/>
          <w:bCs/>
        </w:rPr>
        <w:t xml:space="preserve">II. </w:t>
      </w:r>
      <w:r w:rsidR="00166D6E">
        <w:rPr>
          <w:b/>
          <w:bCs/>
        </w:rPr>
        <w:t xml:space="preserve">The Impact of the Virginia Supreme Court </w:t>
      </w:r>
      <w:r w:rsidR="00D25E5D">
        <w:rPr>
          <w:b/>
          <w:bCs/>
        </w:rPr>
        <w:t>D</w:t>
      </w:r>
      <w:r w:rsidR="00166D6E">
        <w:rPr>
          <w:b/>
          <w:bCs/>
        </w:rPr>
        <w:t>ecision</w:t>
      </w:r>
    </w:p>
    <w:p w:rsidR="00166D6E" w:rsidRPr="006069A5" w:rsidRDefault="00166D6E" w:rsidP="00810CAF">
      <w:pPr>
        <w:widowControl w:val="0"/>
        <w:autoSpaceDE w:val="0"/>
        <w:autoSpaceDN w:val="0"/>
        <w:adjustRightInd w:val="0"/>
        <w:jc w:val="center"/>
        <w:rPr>
          <w:b/>
          <w:bCs/>
        </w:rPr>
      </w:pPr>
      <w:r>
        <w:rPr>
          <w:b/>
          <w:bCs/>
        </w:rPr>
        <w:t xml:space="preserve">in </w:t>
      </w:r>
      <w:r>
        <w:rPr>
          <w:b/>
          <w:bCs/>
          <w:i/>
          <w:iCs/>
        </w:rPr>
        <w:t>Beck v. Shelton</w:t>
      </w:r>
      <w:r>
        <w:rPr>
          <w:rStyle w:val="FootnoteReference"/>
          <w:b/>
          <w:bCs/>
        </w:rPr>
        <w:footnoteReference w:id="4"/>
      </w:r>
    </w:p>
    <w:p w:rsidR="00D25E5D" w:rsidRDefault="00166D6E" w:rsidP="00D25E5D">
      <w:pPr>
        <w:spacing w:before="240"/>
      </w:pPr>
      <w:r>
        <w:t>On March 5, 2004, the Virginia Supreme Court ("the Court") issued an opinion concerning the Virginia Freedom of Information Act ("FOIA," § 2.2-3700 et seq. of the Code of Virginia) (</w:t>
      </w:r>
      <w:r>
        <w:rPr>
          <w:i/>
          <w:iCs/>
        </w:rPr>
        <w:t>Beck v. Shelton</w:t>
      </w:r>
      <w:r>
        <w:t xml:space="preserve">, </w:t>
      </w:r>
      <w:r w:rsidR="00255E0E">
        <w:t>26</w:t>
      </w:r>
      <w:r w:rsidR="00532801">
        <w:t>7 Va. 482, 593 S.E.2d 195</w:t>
      </w:r>
      <w:r>
        <w:t>), with a holding directly relevant to all elected officials in Virginia</w:t>
      </w:r>
      <w:r w:rsidR="0038503C">
        <w:t xml:space="preserve">, </w:t>
      </w:r>
      <w:r>
        <w:t>from members of the General Assembly to m</w:t>
      </w:r>
      <w:r w:rsidR="00867C8E">
        <w:t xml:space="preserve">embers of local school boards. </w:t>
      </w:r>
      <w:r>
        <w:rPr>
          <w:i/>
          <w:iCs/>
        </w:rPr>
        <w:t>Beck</w:t>
      </w:r>
      <w:r>
        <w:t xml:space="preserve"> has drawn interest</w:t>
      </w:r>
      <w:r w:rsidR="0038503C">
        <w:t xml:space="preserve"> primarily</w:t>
      </w:r>
      <w:r>
        <w:t xml:space="preserve"> because it is the first authoritative statement of law in Virginia as to whe</w:t>
      </w:r>
      <w:r w:rsidR="00867C8E">
        <w:t>ther use of e</w:t>
      </w:r>
      <w:r>
        <w:t>mail by public officials could constitute a meeting under FOIA, but it also examines broader issues as to the applicability of FOIA to public officials an</w:t>
      </w:r>
      <w:r w:rsidR="00867C8E">
        <w:t xml:space="preserve">d the definition of a meeting. </w:t>
      </w:r>
      <w:r>
        <w:t>The Court held that FOIA does not apply to members-elect of a public body; that generally, use</w:t>
      </w:r>
      <w:r w:rsidR="00867C8E">
        <w:t xml:space="preserve"> of e</w:t>
      </w:r>
      <w:r>
        <w:t>mail by three or more members of a public body to discuss public business is not a meeting; and that a gathering of three members of a public body at a citizen-organized</w:t>
      </w:r>
      <w:r w:rsidR="00851676">
        <w:t xml:space="preserve"> meeting did not violate FOIA. </w:t>
      </w:r>
      <w:r>
        <w:t>For the purposes of this document, only those portions of t</w:t>
      </w:r>
      <w:r w:rsidR="00851676">
        <w:t>he Court's holding related to e</w:t>
      </w:r>
      <w:r>
        <w:t>mail and meetings under FOIA will be discussed.</w:t>
      </w:r>
      <w:r>
        <w:rPr>
          <w:rStyle w:val="FootnoteReference"/>
        </w:rPr>
        <w:footnoteReference w:id="5"/>
      </w:r>
    </w:p>
    <w:p w:rsidR="00166D6E" w:rsidRPr="00D25E5D" w:rsidRDefault="00166D6E" w:rsidP="00D25E5D">
      <w:pPr>
        <w:spacing w:before="240"/>
      </w:pPr>
      <w:r>
        <w:rPr>
          <w:u w:val="single"/>
        </w:rPr>
        <w:t>Facts</w:t>
      </w:r>
    </w:p>
    <w:p w:rsidR="00166D6E" w:rsidRDefault="00166D6E" w:rsidP="00F40A71">
      <w:pPr>
        <w:spacing w:before="240"/>
      </w:pPr>
      <w:r>
        <w:t>Three plaintiffs filed a petition for writ of mandamus and injunction in Fredericksburg Circuit Court against five members of the Fredericksburg City Council</w:t>
      </w:r>
      <w:r w:rsidR="00F40A71">
        <w:t xml:space="preserve">. </w:t>
      </w:r>
      <w:r>
        <w:t>The petition all</w:t>
      </w:r>
      <w:r w:rsidR="00851676">
        <w:t>eged that the defendants used e</w:t>
      </w:r>
      <w:r>
        <w:t>mail to discuss and decide public business</w:t>
      </w:r>
      <w:r w:rsidR="00851676">
        <w:t xml:space="preserve"> and that such use of e</w:t>
      </w:r>
      <w:r>
        <w:t>mail constituted a</w:t>
      </w:r>
      <w:r w:rsidR="00F40A71">
        <w:t>n improper meeting under FOIA.</w:t>
      </w:r>
    </w:p>
    <w:p w:rsidR="00166D6E" w:rsidRDefault="00166D6E" w:rsidP="00F40A71">
      <w:pPr>
        <w:spacing w:before="240"/>
        <w:rPr>
          <w:u w:val="single"/>
        </w:rPr>
      </w:pPr>
      <w:r>
        <w:rPr>
          <w:u w:val="single"/>
        </w:rPr>
        <w:lastRenderedPageBreak/>
        <w:t>Holding</w:t>
      </w:r>
    </w:p>
    <w:p w:rsidR="00166D6E" w:rsidRDefault="00166D6E" w:rsidP="00F40A71">
      <w:pPr>
        <w:spacing w:before="240"/>
      </w:pPr>
      <w:r>
        <w:t>The Court considered t</w:t>
      </w:r>
      <w:r w:rsidR="00851676">
        <w:t>he question of whether use of e</w:t>
      </w:r>
      <w:r>
        <w:t>mail could be a meetin</w:t>
      </w:r>
      <w:r w:rsidR="00F40A71">
        <w:t xml:space="preserve">g under FOIA. </w:t>
      </w:r>
      <w:r>
        <w:t>The Court overturned the trial</w:t>
      </w:r>
      <w:r w:rsidR="00851676">
        <w:t xml:space="preserve"> court's decision that use of e</w:t>
      </w:r>
      <w:r>
        <w:t>mail to reach a consensus on a matter of public business was a mee</w:t>
      </w:r>
      <w:r w:rsidR="00851676">
        <w:t>ting, on the grounds that the e</w:t>
      </w:r>
      <w:r>
        <w:t>mails in question were similar to letters sent via U.S.</w:t>
      </w:r>
      <w:r w:rsidR="00A54513">
        <w:t xml:space="preserve"> mail</w:t>
      </w:r>
      <w:r>
        <w:t xml:space="preserve"> or facsimile.</w:t>
      </w:r>
    </w:p>
    <w:p w:rsidR="00166D6E" w:rsidRDefault="00166D6E" w:rsidP="00F40A71">
      <w:pPr>
        <w:spacing w:before="240"/>
        <w:ind w:firstLine="720"/>
      </w:pPr>
      <w:r>
        <w:t xml:space="preserve">The Court examined the definition of a meeting at § 2.2-3701, which includes </w:t>
      </w:r>
      <w:r>
        <w:rPr>
          <w:i/>
          <w:iCs/>
        </w:rPr>
        <w:t>an informal assemblage of (i) as many as three members or (ii) a quorum, if less than three, of the constituent membership</w:t>
      </w:r>
      <w:r w:rsidR="00D42083">
        <w:t>. The Court noted that e</w:t>
      </w:r>
      <w:r>
        <w:t>mail can be similar to traditional forms of written correspondence, in that there may be significant delay between the time the communication is sent and receive</w:t>
      </w:r>
      <w:r w:rsidR="00F40A71">
        <w:t xml:space="preserve">d, or when a response is sent. </w:t>
      </w:r>
      <w:r>
        <w:t xml:space="preserve">In the instant case, the shortest interval between any two emails was more than four hours, and the </w:t>
      </w:r>
      <w:r w:rsidR="00F40A71">
        <w:t xml:space="preserve">longest was over two days. </w:t>
      </w:r>
      <w:r>
        <w:t>The Court agreed with the trial court that the dispositi</w:t>
      </w:r>
      <w:r w:rsidR="00D42083">
        <w:t>ve consideration in examining e</w:t>
      </w:r>
      <w:r>
        <w:t>m</w:t>
      </w:r>
      <w:r w:rsidR="00F40A71">
        <w:t xml:space="preserve">ail is how the email is used. </w:t>
      </w:r>
      <w:r>
        <w:t xml:space="preserve">In reviewing this standard, the Court focused on the language in the definition of a meeting that includes </w:t>
      </w:r>
      <w:r w:rsidR="00F40A71">
        <w:t xml:space="preserve">"an informal assemblage." </w:t>
      </w:r>
      <w:r>
        <w:t>"Assemblage," the Court concluded, means to bring together at the same time and in</w:t>
      </w:r>
      <w:r w:rsidR="00F40A71">
        <w:t xml:space="preserve">herently entails simultaneity. </w:t>
      </w:r>
      <w:r>
        <w:t>The Court held that there is no "virtually s</w:t>
      </w:r>
      <w:r w:rsidR="00420889">
        <w:t>imultaneous interaction" when e</w:t>
      </w:r>
      <w:r>
        <w:t>mail is used as the functional equivalent of a letter communicated by U.S.</w:t>
      </w:r>
      <w:r w:rsidR="00420889">
        <w:t xml:space="preserve"> mail</w:t>
      </w:r>
      <w:r>
        <w:t>, courier, or facsimile transmission</w:t>
      </w:r>
      <w:r>
        <w:rPr>
          <w:rStyle w:val="FootnoteReference"/>
        </w:rPr>
        <w:footnoteReference w:id="6"/>
      </w:r>
      <w:r w:rsidR="00F40A71">
        <w:t xml:space="preserve">. </w:t>
      </w:r>
      <w:r>
        <w:t>In further support of this conclusion, the Court noted that the Attorney General of Virginia had previously found that "transmitting messages through an electronic mail system is essentially a form of written communication."</w:t>
      </w:r>
      <w:r>
        <w:rPr>
          <w:rStyle w:val="FootnoteReference"/>
        </w:rPr>
        <w:footnoteReference w:id="7"/>
      </w:r>
      <w:r w:rsidR="00F40A71">
        <w:t xml:space="preserve"> </w:t>
      </w:r>
      <w:r>
        <w:t>While not binding, the General Assembly "is presumed to have knowledge of the Attorney General's interpretation of statutes, and its failure to make corrective amendments evinces legislative acquiescence in the Attorney General's view."</w:t>
      </w:r>
      <w:r>
        <w:rPr>
          <w:rStyle w:val="FootnoteReference"/>
        </w:rPr>
        <w:footnoteReference w:id="8"/>
      </w:r>
    </w:p>
    <w:p w:rsidR="00166D6E" w:rsidRDefault="00166D6E" w:rsidP="00F40A71">
      <w:pPr>
        <w:spacing w:before="240"/>
        <w:ind w:firstLine="720"/>
      </w:pPr>
      <w:r>
        <w:t>It is important to note that the C</w:t>
      </w:r>
      <w:r w:rsidR="008B7E32">
        <w:t>ourt did not hold that use of e</w:t>
      </w:r>
      <w:r>
        <w:t xml:space="preserve">mail could </w:t>
      </w:r>
      <w:r w:rsidR="00323D88">
        <w:t xml:space="preserve">never be a meeting under FOIA. </w:t>
      </w:r>
      <w:r>
        <w:t>Instead, the Court indicated that the dispositi</w:t>
      </w:r>
      <w:r w:rsidR="008B7E32">
        <w:t>ve determination in examining e</w:t>
      </w:r>
      <w:r>
        <w:t>mail under the meeting provisions of FOIA was to lo</w:t>
      </w:r>
      <w:r w:rsidR="008B7E32">
        <w:t>ok at how the e</w:t>
      </w:r>
      <w:r w:rsidR="00F40A71">
        <w:t xml:space="preserve">mail was used. </w:t>
      </w:r>
      <w:r>
        <w:t>The trial court answered this questio</w:t>
      </w:r>
      <w:r w:rsidR="00D25E5D">
        <w:t>n by reviewing the end result -</w:t>
      </w:r>
      <w:r>
        <w:t xml:space="preserve"> i.e.</w:t>
      </w:r>
      <w:r w:rsidR="008B7E32">
        <w:t>, that e</w:t>
      </w:r>
      <w:r>
        <w:t xml:space="preserve">mail </w:t>
      </w:r>
      <w:r w:rsidR="00F40A71">
        <w:t xml:space="preserve">was used to reach a consensus. </w:t>
      </w:r>
      <w:r>
        <w:t>According to the Supreme Court, this question is more appropriately answered by revie</w:t>
      </w:r>
      <w:r w:rsidR="008B7E32">
        <w:t>wing whether the e</w:t>
      </w:r>
      <w:r>
        <w:t xml:space="preserve">mail was used as a functional equivalent </w:t>
      </w:r>
      <w:r w:rsidR="00323D88">
        <w:t>of traditional correspondence.</w:t>
      </w:r>
    </w:p>
    <w:p w:rsidR="00166D6E" w:rsidRDefault="00166D6E" w:rsidP="00323D88">
      <w:pPr>
        <w:spacing w:before="240"/>
        <w:ind w:firstLine="720"/>
      </w:pPr>
      <w:r>
        <w:t>This opinion clarifies that members of a public bod</w:t>
      </w:r>
      <w:r w:rsidR="008B7E32">
        <w:t>y need not refrain from using e</w:t>
      </w:r>
      <w:r>
        <w:t>mail, but they shou</w:t>
      </w:r>
      <w:r w:rsidR="008B7E32">
        <w:t>ld be cautioned against using e</w:t>
      </w:r>
      <w:r>
        <w:t>mail among three or more members of the public body that is akin to using the telephone</w:t>
      </w:r>
      <w:r w:rsidR="00255E0E">
        <w:t xml:space="preserve"> or the functional equivalent of an in-person gathering </w:t>
      </w:r>
      <w:r>
        <w:t>and has an element of simultaneity. The court did not establish a tim</w:t>
      </w:r>
      <w:r w:rsidR="008B7E32">
        <w:t>e frame as to when the use of e</w:t>
      </w:r>
      <w:r>
        <w:t>mail may be considered simultaneous, nor did it address the use of chat rooms, instant messaging, or listservs.</w:t>
      </w:r>
    </w:p>
    <w:p w:rsidR="00166D6E" w:rsidRDefault="00166D6E" w:rsidP="00323D88">
      <w:pPr>
        <w:spacing w:before="240"/>
        <w:ind w:firstLine="720"/>
      </w:pPr>
      <w:r>
        <w:t xml:space="preserve">This decision does not alter the fact </w:t>
      </w:r>
      <w:r w:rsidR="008B7E32">
        <w:t>that the records generated by e</w:t>
      </w:r>
      <w:r>
        <w:t>mail fall under FOIA's d</w:t>
      </w:r>
      <w:r w:rsidR="008B7E32">
        <w:t>efinition of a public record. E</w:t>
      </w:r>
      <w:r>
        <w:t xml:space="preserve">mails concerning public business are available for </w:t>
      </w:r>
      <w:r>
        <w:lastRenderedPageBreak/>
        <w:t xml:space="preserve">inspection or copying upon request, unless a specific statutory </w:t>
      </w:r>
      <w:r w:rsidR="008B7E32">
        <w:t>exemption allows a particular e</w:t>
      </w:r>
      <w:r>
        <w:t>mail or co</w:t>
      </w:r>
      <w:r w:rsidR="008B7E32">
        <w:t>ntents thereof to be withheld. Furthermore, e</w:t>
      </w:r>
      <w:r>
        <w:t>mails must be retained like other public records subject to the provisions of the Virginia Public Records Act (§ 42.1-76 et seq).</w:t>
      </w:r>
    </w:p>
    <w:p w:rsidR="00166D6E" w:rsidRDefault="00166D6E" w:rsidP="00323D88">
      <w:pPr>
        <w:spacing w:before="240"/>
        <w:rPr>
          <w:u w:val="single"/>
        </w:rPr>
      </w:pPr>
      <w:r>
        <w:rPr>
          <w:u w:val="single"/>
        </w:rPr>
        <w:t>Conclusion</w:t>
      </w:r>
    </w:p>
    <w:p w:rsidR="00166D6E" w:rsidRDefault="00166D6E" w:rsidP="00323D88">
      <w:pPr>
        <w:spacing w:before="240"/>
      </w:pPr>
      <w:r>
        <w:t>The Court's holding has implications for members of all publ</w:t>
      </w:r>
      <w:r w:rsidR="008B7E32">
        <w:t>ic bodies in the Commonwealth. With e</w:t>
      </w:r>
      <w:r>
        <w:t>mail, the u</w:t>
      </w:r>
      <w:r w:rsidR="008B7E32">
        <w:t>ser must consider whether the e</w:t>
      </w:r>
      <w:r>
        <w:t>mail is being used akin to traditional c</w:t>
      </w:r>
      <w:r w:rsidR="008B7E32">
        <w:t>orrespondence, or whether the e</w:t>
      </w:r>
      <w:r>
        <w:t>mail has an element of simultaneity and is more like a telephone call between three or mo</w:t>
      </w:r>
      <w:r w:rsidR="00323D88">
        <w:t xml:space="preserve">re members of the public body. </w:t>
      </w:r>
      <w:r>
        <w:t>This decision o</w:t>
      </w:r>
      <w:r w:rsidR="00323D88">
        <w:t xml:space="preserve">f the Court was fact-specific. </w:t>
      </w:r>
      <w:r>
        <w:t>Although no bright-line rules emerged in establishing what is or is not a meeting, the ruling underscores the notion that all meetings are presumed op</w:t>
      </w:r>
      <w:r w:rsidR="00323D88">
        <w:t xml:space="preserve">en under FOIA. </w:t>
      </w:r>
      <w:r>
        <w:t>Det</w:t>
      </w:r>
      <w:r w:rsidR="006F561F">
        <w:t>ermining whether a particular e</w:t>
      </w:r>
      <w:r>
        <w:t>mail discussion falls outside the parameters of a meeting must be considered carefully, on a case-by-case basis, examining all relevant facts.</w:t>
      </w:r>
    </w:p>
    <w:p w:rsidR="00532801" w:rsidRDefault="00532801" w:rsidP="00323D88">
      <w:pPr>
        <w:widowControl w:val="0"/>
        <w:autoSpaceDE w:val="0"/>
        <w:autoSpaceDN w:val="0"/>
        <w:adjustRightInd w:val="0"/>
        <w:spacing w:before="360"/>
        <w:jc w:val="center"/>
        <w:rPr>
          <w:b/>
          <w:bCs/>
        </w:rPr>
      </w:pPr>
      <w:r>
        <w:rPr>
          <w:b/>
          <w:bCs/>
        </w:rPr>
        <w:t>III</w:t>
      </w:r>
      <w:r w:rsidR="00B440B6">
        <w:rPr>
          <w:b/>
          <w:bCs/>
        </w:rPr>
        <w:t>. The</w:t>
      </w:r>
      <w:r>
        <w:rPr>
          <w:b/>
          <w:bCs/>
        </w:rPr>
        <w:t xml:space="preserve"> Impact of the Virginia Supreme Court </w:t>
      </w:r>
      <w:r w:rsidR="00D25E5D">
        <w:rPr>
          <w:b/>
          <w:bCs/>
        </w:rPr>
        <w:t>D</w:t>
      </w:r>
      <w:r>
        <w:rPr>
          <w:b/>
          <w:bCs/>
        </w:rPr>
        <w:t>ecision</w:t>
      </w:r>
    </w:p>
    <w:p w:rsidR="00532801" w:rsidRPr="006069A5" w:rsidRDefault="00532801" w:rsidP="00323D88">
      <w:pPr>
        <w:widowControl w:val="0"/>
        <w:autoSpaceDE w:val="0"/>
        <w:autoSpaceDN w:val="0"/>
        <w:adjustRightInd w:val="0"/>
        <w:jc w:val="center"/>
        <w:rPr>
          <w:b/>
          <w:bCs/>
        </w:rPr>
      </w:pPr>
      <w:r>
        <w:rPr>
          <w:b/>
          <w:bCs/>
        </w:rPr>
        <w:t xml:space="preserve">in </w:t>
      </w:r>
      <w:r>
        <w:rPr>
          <w:b/>
          <w:bCs/>
          <w:i/>
          <w:iCs/>
        </w:rPr>
        <w:t>Hill v. Fairfax County School Board</w:t>
      </w:r>
    </w:p>
    <w:p w:rsidR="00532801" w:rsidRDefault="00532801" w:rsidP="00153647">
      <w:pPr>
        <w:spacing w:before="240"/>
      </w:pPr>
      <w:r>
        <w:t>On June 7, 2012, the Virginia Supreme Court ("the Court") issued an opinion concerning the Virginia Freedom of Information Act ("FOIA," § 2.2-3700 et seq. of the Code of Virginia) (</w:t>
      </w:r>
      <w:r>
        <w:rPr>
          <w:i/>
          <w:iCs/>
        </w:rPr>
        <w:t>Hill v. Fairfax County School Board</w:t>
      </w:r>
      <w:r>
        <w:t xml:space="preserve">, </w:t>
      </w:r>
      <w:r w:rsidR="00153647">
        <w:t xml:space="preserve">284 Va. 306, 727 S.E.2d 75). </w:t>
      </w:r>
      <w:r>
        <w:t>This case revisited the issue of whether the use of email could constitute a p</w:t>
      </w:r>
      <w:r w:rsidR="00153647">
        <w:t xml:space="preserve">ublic meeting subject to FOIA. </w:t>
      </w:r>
      <w:r w:rsidR="004853E1">
        <w:t>The Court held that the email in this case did not c</w:t>
      </w:r>
      <w:r w:rsidR="00153647">
        <w:t>onstitute a meeting under FOIA.</w:t>
      </w:r>
      <w:r w:rsidR="004853E1">
        <w:t xml:space="preserve"> The plaintiff had also alleged violation of FOIA in regard to a request for public records, but only the Court's holding regarding email as a meeting will be addressed here.</w:t>
      </w:r>
    </w:p>
    <w:p w:rsidR="00532801" w:rsidRDefault="00532801" w:rsidP="00153647">
      <w:pPr>
        <w:spacing w:before="240"/>
        <w:rPr>
          <w:u w:val="single"/>
        </w:rPr>
      </w:pPr>
      <w:r>
        <w:rPr>
          <w:u w:val="single"/>
        </w:rPr>
        <w:t>Facts</w:t>
      </w:r>
    </w:p>
    <w:p w:rsidR="00532801" w:rsidRDefault="00532801" w:rsidP="00153647">
      <w:pPr>
        <w:spacing w:before="240"/>
      </w:pPr>
      <w:r>
        <w:t>The pla</w:t>
      </w:r>
      <w:r w:rsidR="004853E1">
        <w:t>intiff alleged that the school b</w:t>
      </w:r>
      <w:r>
        <w:t xml:space="preserve">oard had conducted a closed meeting about the closure of a local school in violation of FOIA through the use of email. </w:t>
      </w:r>
      <w:r w:rsidR="004853E1">
        <w:t xml:space="preserve">The circuit court received copies of various emails into evidence </w:t>
      </w:r>
      <w:r w:rsidR="00D1667B">
        <w:t>and</w:t>
      </w:r>
      <w:r w:rsidR="005B340E">
        <w:t xml:space="preserve"> </w:t>
      </w:r>
      <w:r w:rsidR="00D1667B">
        <w:t>heard</w:t>
      </w:r>
      <w:r w:rsidR="004853E1">
        <w:t xml:space="preserve"> testimony that revealed that the school board members had communicated with each other by email, by telephone, and in person t</w:t>
      </w:r>
      <w:r w:rsidR="00153647">
        <w:t xml:space="preserve">o consider the school closing. </w:t>
      </w:r>
      <w:r w:rsidR="004853E1">
        <w:t xml:space="preserve">The circuit court expressly found that </w:t>
      </w:r>
      <w:r w:rsidR="006F561F">
        <w:t xml:space="preserve">the </w:t>
      </w:r>
      <w:r w:rsidR="00927CB1">
        <w:t xml:space="preserve">time </w:t>
      </w:r>
      <w:r w:rsidR="006F561F">
        <w:t xml:space="preserve">intervals between the exchange of </w:t>
      </w:r>
      <w:r w:rsidR="004853E1">
        <w:t xml:space="preserve">emails were much shorter than was the case in </w:t>
      </w:r>
      <w:r w:rsidR="004853E1">
        <w:rPr>
          <w:i/>
        </w:rPr>
        <w:t>Beck</w:t>
      </w:r>
      <w:r w:rsidR="00466B08">
        <w:t>,</w:t>
      </w:r>
      <w:r w:rsidR="004853E1">
        <w:t xml:space="preserve"> but</w:t>
      </w:r>
      <w:r w:rsidR="00927CB1">
        <w:t xml:space="preserve"> emails were exchanged</w:t>
      </w:r>
      <w:r w:rsidR="004853E1">
        <w:t xml:space="preserve"> betwe</w:t>
      </w:r>
      <w:r w:rsidR="00153647">
        <w:t xml:space="preserve">en only two members at a time. </w:t>
      </w:r>
      <w:r w:rsidR="004853E1">
        <w:t>The circuit court held that the exchange of email in question did not constitute a meeting because simultaneous communication between three or more school board members</w:t>
      </w:r>
      <w:r w:rsidR="00927CB1">
        <w:t xml:space="preserve"> did not occur</w:t>
      </w:r>
      <w:r w:rsidR="004853E1">
        <w:t>.</w:t>
      </w:r>
    </w:p>
    <w:p w:rsidR="00532801" w:rsidRDefault="00532801" w:rsidP="006069A5">
      <w:pPr>
        <w:spacing w:before="240"/>
        <w:rPr>
          <w:u w:val="single"/>
        </w:rPr>
      </w:pPr>
      <w:r>
        <w:rPr>
          <w:u w:val="single"/>
        </w:rPr>
        <w:t>Holding</w:t>
      </w:r>
    </w:p>
    <w:p w:rsidR="00532801" w:rsidRDefault="00532801" w:rsidP="00153647">
      <w:pPr>
        <w:spacing w:before="240"/>
      </w:pPr>
      <w:r>
        <w:t xml:space="preserve">The Court </w:t>
      </w:r>
      <w:r w:rsidR="004853E1">
        <w:t>affirmed the decision of the circuit court that the email exchange in question did not constitute a meeting under FOIA because it did not involve simultaneous communication between three</w:t>
      </w:r>
      <w:r w:rsidR="00EF74B1">
        <w:t xml:space="preserve"> or more school board members. </w:t>
      </w:r>
      <w:r w:rsidR="004853E1">
        <w:t xml:space="preserve">The Court emphasized that it was applying the same analysis in </w:t>
      </w:r>
      <w:r w:rsidR="004853E1" w:rsidRPr="00A44CF1">
        <w:rPr>
          <w:i/>
        </w:rPr>
        <w:t>Beck</w:t>
      </w:r>
      <w:r w:rsidR="004853E1">
        <w:t xml:space="preserve"> and </w:t>
      </w:r>
      <w:r w:rsidR="00A44CF1">
        <w:t xml:space="preserve">that the circuit court's decision below was entirely consistent with </w:t>
      </w:r>
      <w:r w:rsidR="00A44CF1" w:rsidRPr="00A44CF1">
        <w:rPr>
          <w:i/>
        </w:rPr>
        <w:t>Beck</w:t>
      </w:r>
      <w:r w:rsidR="00A44CF1">
        <w:t>.</w:t>
      </w:r>
    </w:p>
    <w:p w:rsidR="00532801" w:rsidRDefault="00532801" w:rsidP="00153647">
      <w:pPr>
        <w:spacing w:before="240"/>
        <w:rPr>
          <w:u w:val="single"/>
        </w:rPr>
      </w:pPr>
      <w:r>
        <w:rPr>
          <w:u w:val="single"/>
        </w:rPr>
        <w:lastRenderedPageBreak/>
        <w:t>Conclusion</w:t>
      </w:r>
    </w:p>
    <w:p w:rsidR="00532801" w:rsidRDefault="00532801" w:rsidP="00153647">
      <w:pPr>
        <w:spacing w:before="240"/>
      </w:pPr>
      <w:r>
        <w:t>The Court's holding has implications for members of all public bodies in the Commonwealth</w:t>
      </w:r>
      <w:r w:rsidR="00A44CF1">
        <w:t xml:space="preserve">, as it reaffirms the holding and analysis of </w:t>
      </w:r>
      <w:r w:rsidR="00A44CF1">
        <w:rPr>
          <w:i/>
        </w:rPr>
        <w:t xml:space="preserve">Beck </w:t>
      </w:r>
      <w:r w:rsidR="00A44CF1">
        <w:t>as applied to a different fact pattern</w:t>
      </w:r>
      <w:r>
        <w:t>.</w:t>
      </w:r>
      <w:r w:rsidR="00EF74B1">
        <w:t xml:space="preserve"> </w:t>
      </w:r>
      <w:r w:rsidR="00A44CF1">
        <w:t xml:space="preserve">In </w:t>
      </w:r>
      <w:r w:rsidR="00A44CF1">
        <w:rPr>
          <w:i/>
        </w:rPr>
        <w:t>Beck</w:t>
      </w:r>
      <w:r w:rsidR="00A44CF1">
        <w:t>, the email exchange at issue involved a sufficient number of members to constitute a meeting, but it lacked the nece</w:t>
      </w:r>
      <w:r w:rsidR="00EF74B1">
        <w:t xml:space="preserve">ssary element of simultaneity. </w:t>
      </w:r>
      <w:r w:rsidR="00A44CF1">
        <w:t xml:space="preserve">In </w:t>
      </w:r>
      <w:r w:rsidR="00A44CF1">
        <w:rPr>
          <w:i/>
        </w:rPr>
        <w:t>Hill</w:t>
      </w:r>
      <w:r w:rsidR="00A44CF1">
        <w:t>, the emails were exchanged much more closely in time, but lacked the necessary number of members involved to be conside</w:t>
      </w:r>
      <w:r w:rsidR="00EF74B1">
        <w:t xml:space="preserve">red a meeting subject to FOIA. </w:t>
      </w:r>
      <w:r w:rsidR="00A44CF1">
        <w:t>Together these cases make clear that in order to constitute a meeting under FOIA, an exchange of</w:t>
      </w:r>
      <w:r w:rsidR="00DB6A22">
        <w:t xml:space="preserve"> emails</w:t>
      </w:r>
      <w:r w:rsidR="00A44CF1">
        <w:t xml:space="preserve"> would have to involve a sufficient number of members ("three or more, or a quorum if less than three") and</w:t>
      </w:r>
      <w:r w:rsidR="00DB6A22">
        <w:t xml:space="preserve"> would have to occur within a time period short enough</w:t>
      </w:r>
      <w:r w:rsidR="00A44CF1">
        <w:t xml:space="preserve"> to be considered a simultaneous </w:t>
      </w:r>
      <w:r w:rsidR="00EF74B1">
        <w:t>assemblage of the public body.</w:t>
      </w:r>
    </w:p>
    <w:p w:rsidR="00166D6E" w:rsidRDefault="00532801" w:rsidP="00153647">
      <w:pPr>
        <w:widowControl w:val="0"/>
        <w:autoSpaceDE w:val="0"/>
        <w:autoSpaceDN w:val="0"/>
        <w:adjustRightInd w:val="0"/>
        <w:spacing w:before="360"/>
        <w:jc w:val="center"/>
        <w:rPr>
          <w:b/>
          <w:bCs/>
        </w:rPr>
      </w:pPr>
      <w:r>
        <w:rPr>
          <w:b/>
          <w:bCs/>
        </w:rPr>
        <w:t>IV</w:t>
      </w:r>
      <w:r w:rsidR="00B440B6">
        <w:rPr>
          <w:b/>
          <w:bCs/>
        </w:rPr>
        <w:t>. Tips</w:t>
      </w:r>
      <w:r w:rsidR="000B5130">
        <w:rPr>
          <w:b/>
          <w:bCs/>
        </w:rPr>
        <w:t xml:space="preserve"> for Using E</w:t>
      </w:r>
      <w:r w:rsidR="00166D6E">
        <w:rPr>
          <w:b/>
          <w:bCs/>
        </w:rPr>
        <w:t>mail</w:t>
      </w:r>
    </w:p>
    <w:p w:rsidR="00166D6E" w:rsidRDefault="00EF74B1" w:rsidP="00153647">
      <w:pPr>
        <w:widowControl w:val="0"/>
        <w:autoSpaceDE w:val="0"/>
        <w:autoSpaceDN w:val="0"/>
        <w:adjustRightInd w:val="0"/>
        <w:spacing w:before="240"/>
      </w:pPr>
      <w:r>
        <w:t xml:space="preserve">Keep </w:t>
      </w:r>
      <w:r w:rsidR="00166D6E">
        <w:t>in mind the following tips:</w:t>
      </w:r>
    </w:p>
    <w:p w:rsidR="00166D6E" w:rsidRDefault="00166D6E" w:rsidP="00153647">
      <w:pPr>
        <w:widowControl w:val="0"/>
        <w:numPr>
          <w:ilvl w:val="0"/>
          <w:numId w:val="1"/>
        </w:numPr>
        <w:autoSpaceDE w:val="0"/>
        <w:autoSpaceDN w:val="0"/>
        <w:adjustRightInd w:val="0"/>
        <w:spacing w:before="240"/>
      </w:pPr>
      <w:r>
        <w:t>Remember the underlying principle of the open meeting provisions of FOIA</w:t>
      </w:r>
      <w:r w:rsidR="00D1667B">
        <w:t>: t</w:t>
      </w:r>
      <w:r w:rsidR="00FA7983">
        <w:t>he</w:t>
      </w:r>
      <w:r>
        <w:t xml:space="preserve"> public has the right to witness the operations of government.</w:t>
      </w:r>
      <w:r w:rsidR="000B5130">
        <w:t xml:space="preserve"> If you question whether your e</w:t>
      </w:r>
      <w:r>
        <w:t xml:space="preserve">mail communication might lead to the deliberation of public business by three or more members of a public body in real time (i.e., </w:t>
      </w:r>
      <w:r w:rsidR="00FC1876">
        <w:t xml:space="preserve">has </w:t>
      </w:r>
      <w:r>
        <w:t xml:space="preserve">an element of simultaneity), then you may be better served by saving that communication for a public meeting. </w:t>
      </w:r>
    </w:p>
    <w:p w:rsidR="00166D6E" w:rsidRDefault="000B5130" w:rsidP="00810CAF">
      <w:pPr>
        <w:widowControl w:val="0"/>
        <w:numPr>
          <w:ilvl w:val="0"/>
          <w:numId w:val="1"/>
        </w:numPr>
        <w:autoSpaceDE w:val="0"/>
        <w:autoSpaceDN w:val="0"/>
        <w:adjustRightInd w:val="0"/>
        <w:spacing w:before="240"/>
      </w:pPr>
      <w:r>
        <w:t>If you receive an e</w:t>
      </w:r>
      <w:r w:rsidR="00166D6E">
        <w:t>mail</w:t>
      </w:r>
      <w:r w:rsidR="00125086">
        <w:t xml:space="preserve"> sent to</w:t>
      </w:r>
      <w:r w:rsidR="00166D6E">
        <w:t xml:space="preserve"> three or more recipients </w:t>
      </w:r>
      <w:r w:rsidR="00125086">
        <w:t xml:space="preserve">who </w:t>
      </w:r>
      <w:r w:rsidR="00166D6E">
        <w:t>are members of the same public body, and you wish to respond, choose "respond to sender</w:t>
      </w:r>
      <w:r w:rsidR="00125086">
        <w:t xml:space="preserve">" instead of "respond to all." </w:t>
      </w:r>
      <w:r w:rsidR="00166D6E">
        <w:t>One-on-one communications are clearly allowed under</w:t>
      </w:r>
      <w:r>
        <w:t xml:space="preserve"> FOIA, and this will avoid an e</w:t>
      </w:r>
      <w:r w:rsidR="00166D6E">
        <w:t>mail discussion among three or more members.</w:t>
      </w:r>
    </w:p>
    <w:p w:rsidR="00166D6E" w:rsidRDefault="000B5130" w:rsidP="00810CAF">
      <w:pPr>
        <w:widowControl w:val="0"/>
        <w:numPr>
          <w:ilvl w:val="0"/>
          <w:numId w:val="1"/>
        </w:numPr>
        <w:autoSpaceDE w:val="0"/>
        <w:autoSpaceDN w:val="0"/>
        <w:adjustRightInd w:val="0"/>
        <w:spacing w:before="240"/>
      </w:pPr>
      <w:r>
        <w:t>When composing an e</w:t>
      </w:r>
      <w:r w:rsidR="00166D6E">
        <w:t>mail to send to three or more members of a public body, enter the recipients' addresses in the "blind carbon copy" (bcc) field instead of in the "to" field. By doing this, an individual recipient will not be able to automatically respond to anyone but you.</w:t>
      </w:r>
    </w:p>
    <w:p w:rsidR="00255E0E" w:rsidRDefault="00255E0E" w:rsidP="00810CAF">
      <w:pPr>
        <w:widowControl w:val="0"/>
        <w:numPr>
          <w:ilvl w:val="0"/>
          <w:numId w:val="1"/>
        </w:numPr>
        <w:autoSpaceDE w:val="0"/>
        <w:autoSpaceDN w:val="0"/>
        <w:adjustRightInd w:val="0"/>
        <w:spacing w:before="240"/>
      </w:pPr>
      <w:r>
        <w:t>Use staff to send emails on behalf of members to ensure the exchange of emails will not be a simultaneous communication among three or more members which could constitute a meeting.</w:t>
      </w:r>
    </w:p>
    <w:p w:rsidR="00166D6E" w:rsidRDefault="0099700C" w:rsidP="009128E5">
      <w:pPr>
        <w:widowControl w:val="0"/>
        <w:autoSpaceDE w:val="0"/>
        <w:autoSpaceDN w:val="0"/>
        <w:adjustRightInd w:val="0"/>
        <w:spacing w:before="480"/>
        <w:rPr>
          <w:sz w:val="16"/>
        </w:rPr>
      </w:pPr>
      <w:r>
        <w:rPr>
          <w:sz w:val="16"/>
        </w:rPr>
        <w:t xml:space="preserve">Updated </w:t>
      </w:r>
      <w:r w:rsidR="00146132">
        <w:rPr>
          <w:sz w:val="16"/>
        </w:rPr>
        <w:t>August</w:t>
      </w:r>
      <w:r w:rsidR="00282446">
        <w:rPr>
          <w:sz w:val="16"/>
        </w:rPr>
        <w:t xml:space="preserve"> 20</w:t>
      </w:r>
      <w:r w:rsidR="00146132">
        <w:rPr>
          <w:sz w:val="16"/>
        </w:rPr>
        <w:t>1</w:t>
      </w:r>
      <w:r w:rsidR="003B34DD">
        <w:rPr>
          <w:sz w:val="16"/>
        </w:rPr>
        <w:t>3</w:t>
      </w:r>
    </w:p>
    <w:sectPr w:rsidR="00166D6E">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84" w:rsidRDefault="001B3484">
      <w:r>
        <w:separator/>
      </w:r>
    </w:p>
  </w:endnote>
  <w:endnote w:type="continuationSeparator" w:id="0">
    <w:p w:rsidR="001B3484" w:rsidRDefault="001B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84" w:rsidRDefault="001B34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484" w:rsidRDefault="001B34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84" w:rsidRDefault="001B34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2689">
      <w:rPr>
        <w:rStyle w:val="PageNumber"/>
        <w:noProof/>
      </w:rPr>
      <w:t>4</w:t>
    </w:r>
    <w:r>
      <w:rPr>
        <w:rStyle w:val="PageNumber"/>
      </w:rPr>
      <w:fldChar w:fldCharType="end"/>
    </w:r>
  </w:p>
  <w:p w:rsidR="001B3484" w:rsidRDefault="00552689">
    <w:pPr>
      <w:pStyle w:val="Footer"/>
      <w:ind w:right="360"/>
      <w:rPr>
        <w:smallCaps/>
        <w:sz w:val="16"/>
      </w:rPr>
    </w:pPr>
    <w:r>
      <w:rPr>
        <w:smallCaps/>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95pt;margin-top:-8.4pt;width:28.8pt;height:28.8pt;z-index:-251658752;mso-wrap-edited:f" wrapcoords="8977 408 5049 1223 0 4891 0 6928 4769 13449 4208 21192 20478 21192 20197 10596 16831 7336 15148 2038 10379 408 8977 408">
          <v:imagedata r:id="rId1" o:title=""/>
          <w10:wrap type="tight" side="right"/>
        </v:shape>
        <o:OLEObject Type="Embed" ProgID="MSPhotoEd.3" ShapeID="_x0000_s2049" DrawAspect="Content" ObjectID="_1791719113" r:id="rId2"/>
      </w:object>
    </w:r>
    <w:r w:rsidR="001B3484">
      <w:rPr>
        <w:smallCaps/>
        <w:sz w:val="16"/>
      </w:rPr>
      <w:t xml:space="preserve"> </w:t>
    </w:r>
  </w:p>
  <w:p w:rsidR="001B3484" w:rsidRDefault="001B3484">
    <w:pPr>
      <w:pStyle w:val="Footer"/>
    </w:pPr>
    <w:r>
      <w:rPr>
        <w:smallCaps/>
        <w:sz w:val="16"/>
      </w:rPr>
      <w:t>Virginia Freedom of Information Advisory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84" w:rsidRDefault="001B3484">
      <w:r>
        <w:separator/>
      </w:r>
    </w:p>
  </w:footnote>
  <w:footnote w:type="continuationSeparator" w:id="0">
    <w:p w:rsidR="001B3484" w:rsidRDefault="001B3484">
      <w:r>
        <w:continuationSeparator/>
      </w:r>
    </w:p>
  </w:footnote>
  <w:footnote w:id="1">
    <w:p w:rsidR="001B3484" w:rsidRDefault="001B3484" w:rsidP="00523BFA">
      <w:pPr>
        <w:widowControl w:val="0"/>
        <w:autoSpaceDE w:val="0"/>
        <w:autoSpaceDN w:val="0"/>
        <w:adjustRightInd w:val="0"/>
      </w:pPr>
      <w:r>
        <w:rPr>
          <w:rStyle w:val="FootnoteReference"/>
        </w:rPr>
        <w:footnoteRef/>
      </w:r>
      <w:r>
        <w:t xml:space="preserve"> </w:t>
      </w:r>
      <w:r>
        <w:rPr>
          <w:sz w:val="20"/>
        </w:rPr>
        <w:t>See § 2.2-3708, which expressly allows state public bodies to hold a</w:t>
      </w:r>
      <w:r w:rsidR="00523BFA">
        <w:rPr>
          <w:sz w:val="20"/>
        </w:rPr>
        <w:t xml:space="preserve">udio or audio/visual meetings. </w:t>
      </w:r>
      <w:r>
        <w:rPr>
          <w:sz w:val="20"/>
        </w:rPr>
        <w:t>See also Chapter 704 of the 1997 Acts of Assembly, establishing a pilot program for certain state public bodies to hold audio/visual meetings.</w:t>
      </w:r>
    </w:p>
  </w:footnote>
  <w:footnote w:id="2">
    <w:p w:rsidR="001B3484" w:rsidRDefault="001B3484">
      <w:pPr>
        <w:widowControl w:val="0"/>
        <w:autoSpaceDE w:val="0"/>
        <w:autoSpaceDN w:val="0"/>
        <w:adjustRightInd w:val="0"/>
      </w:pPr>
      <w:r>
        <w:rPr>
          <w:rStyle w:val="FootnoteReference"/>
        </w:rPr>
        <w:footnoteRef/>
      </w:r>
      <w:r>
        <w:t xml:space="preserve"> </w:t>
      </w:r>
      <w:r w:rsidR="00055143">
        <w:rPr>
          <w:sz w:val="20"/>
        </w:rPr>
        <w:t xml:space="preserve">See § 2.2-3710(B). </w:t>
      </w:r>
      <w:r>
        <w:rPr>
          <w:sz w:val="20"/>
        </w:rPr>
        <w:t>See als</w:t>
      </w:r>
      <w:r w:rsidRPr="0060622D">
        <w:rPr>
          <w:sz w:val="20"/>
          <w:szCs w:val="20"/>
        </w:rPr>
        <w:t xml:space="preserve">o </w:t>
      </w:r>
      <w:r>
        <w:rPr>
          <w:sz w:val="20"/>
          <w:szCs w:val="20"/>
        </w:rPr>
        <w:t xml:space="preserve">2011 </w:t>
      </w:r>
      <w:r w:rsidRPr="0060622D">
        <w:rPr>
          <w:sz w:val="20"/>
          <w:szCs w:val="20"/>
        </w:rPr>
        <w:t>Op. Atty. Gen. Va. 11-096 (August 5, 2011)</w:t>
      </w:r>
      <w:r w:rsidR="00055143">
        <w:rPr>
          <w:sz w:val="20"/>
          <w:szCs w:val="20"/>
        </w:rPr>
        <w:t xml:space="preserve"> </w:t>
      </w:r>
      <w:r w:rsidRPr="0060622D">
        <w:rPr>
          <w:sz w:val="20"/>
          <w:szCs w:val="20"/>
        </w:rPr>
        <w:t>(Two members of a three-member electoral board may communi</w:t>
      </w:r>
      <w:r w:rsidR="00895E6C">
        <w:rPr>
          <w:sz w:val="20"/>
          <w:szCs w:val="20"/>
        </w:rPr>
        <w:t>cate by e</w:t>
      </w:r>
      <w:r w:rsidRPr="0060622D">
        <w:rPr>
          <w:sz w:val="20"/>
          <w:szCs w:val="20"/>
        </w:rPr>
        <w:t>mail w</w:t>
      </w:r>
      <w:r w:rsidR="00895E6C">
        <w:rPr>
          <w:sz w:val="20"/>
          <w:szCs w:val="20"/>
        </w:rPr>
        <w:t>ithout violating FOIA because e</w:t>
      </w:r>
      <w:r w:rsidRPr="0060622D">
        <w:rPr>
          <w:sz w:val="20"/>
          <w:szCs w:val="20"/>
        </w:rPr>
        <w:t>mail lacks the element of simultaneity required for the communication to be considered a meetin</w:t>
      </w:r>
      <w:r>
        <w:rPr>
          <w:sz w:val="20"/>
          <w:szCs w:val="20"/>
        </w:rPr>
        <w:t>g under FOIA.</w:t>
      </w:r>
      <w:r w:rsidRPr="0060622D">
        <w:rPr>
          <w:sz w:val="20"/>
          <w:szCs w:val="20"/>
        </w:rPr>
        <w:t xml:space="preserve">); 1999 </w:t>
      </w:r>
      <w:r>
        <w:rPr>
          <w:sz w:val="20"/>
        </w:rPr>
        <w:t>Op. Atty. Gen. Va. 12 (The meeting provisions of FOIA do not prohibit members of a public bo</w:t>
      </w:r>
      <w:r w:rsidR="00851676">
        <w:rPr>
          <w:sz w:val="20"/>
        </w:rPr>
        <w:t>dy from sending e</w:t>
      </w:r>
      <w:r>
        <w:rPr>
          <w:sz w:val="20"/>
        </w:rPr>
        <w:t>mail to other me</w:t>
      </w:r>
      <w:r w:rsidR="006A4BBC">
        <w:rPr>
          <w:sz w:val="20"/>
        </w:rPr>
        <w:t xml:space="preserve">mbers of the same public body. </w:t>
      </w:r>
      <w:r>
        <w:rPr>
          <w:sz w:val="20"/>
        </w:rPr>
        <w:t>The decision rest</w:t>
      </w:r>
      <w:r w:rsidR="00851676">
        <w:rPr>
          <w:sz w:val="20"/>
        </w:rPr>
        <w:t>s on the fact that the use of e</w:t>
      </w:r>
      <w:r>
        <w:rPr>
          <w:sz w:val="20"/>
        </w:rPr>
        <w:t xml:space="preserve">mail does not result in simultaneous communication like a traditional meeting.); </w:t>
      </w:r>
      <w:r w:rsidRPr="00065915">
        <w:rPr>
          <w:sz w:val="20"/>
          <w:szCs w:val="20"/>
        </w:rPr>
        <w:t>Virginia Freedom of Information Advisory Opinion 19 (2004)</w:t>
      </w:r>
      <w:r w:rsidR="006A4BBC">
        <w:rPr>
          <w:sz w:val="20"/>
          <w:szCs w:val="20"/>
        </w:rPr>
        <w:t xml:space="preserve"> </w:t>
      </w:r>
      <w:r w:rsidRPr="00065915">
        <w:rPr>
          <w:sz w:val="20"/>
          <w:szCs w:val="20"/>
        </w:rPr>
        <w:t>(two members of a three-member electora</w:t>
      </w:r>
      <w:r w:rsidR="00851676">
        <w:rPr>
          <w:sz w:val="20"/>
          <w:szCs w:val="20"/>
        </w:rPr>
        <w:t>l board may communicate using e</w:t>
      </w:r>
      <w:r w:rsidRPr="00065915">
        <w:rPr>
          <w:sz w:val="20"/>
          <w:szCs w:val="20"/>
        </w:rPr>
        <w:t>mail without violating FOIA</w:t>
      </w:r>
      <w:r>
        <w:rPr>
          <w:sz w:val="20"/>
          <w:szCs w:val="20"/>
        </w:rPr>
        <w:t xml:space="preserve"> so long as it is not simultaneous communication that would</w:t>
      </w:r>
      <w:r w:rsidR="00851676">
        <w:rPr>
          <w:sz w:val="20"/>
          <w:szCs w:val="20"/>
        </w:rPr>
        <w:t xml:space="preserve"> constitute</w:t>
      </w:r>
      <w:r>
        <w:rPr>
          <w:sz w:val="20"/>
          <w:szCs w:val="20"/>
        </w:rPr>
        <w:t xml:space="preserve"> a meeting for FOIA purposes</w:t>
      </w:r>
      <w:r w:rsidRPr="00065915">
        <w:rPr>
          <w:sz w:val="20"/>
          <w:szCs w:val="20"/>
        </w:rPr>
        <w:t>).</w:t>
      </w:r>
    </w:p>
  </w:footnote>
  <w:footnote w:id="3">
    <w:p w:rsidR="001B3484" w:rsidRDefault="001B3484">
      <w:pPr>
        <w:pStyle w:val="FootnoteText"/>
      </w:pPr>
      <w:r>
        <w:rPr>
          <w:rStyle w:val="FootnoteReference"/>
        </w:rPr>
        <w:footnoteRef/>
      </w:r>
      <w:r>
        <w:t xml:space="preserve"> For a similar discussion, see Virginia Freedom of Information Advisory Opinion 01 (2001) (finding that the use of a listserv by members of a public body constitutes a meeting if used to discus</w:t>
      </w:r>
      <w:r w:rsidR="00EF291C">
        <w:t xml:space="preserve">s or transact public business. </w:t>
      </w:r>
      <w:r>
        <w:t xml:space="preserve">A listserv </w:t>
      </w:r>
      <w:r w:rsidR="006A4BBC">
        <w:t xml:space="preserve">is </w:t>
      </w:r>
      <w:r w:rsidR="00851676">
        <w:t>different from regular e</w:t>
      </w:r>
      <w:r>
        <w:t>mail</w:t>
      </w:r>
      <w:r w:rsidR="006A4BBC">
        <w:t xml:space="preserve"> in that</w:t>
      </w:r>
      <w:r>
        <w:t xml:space="preserve"> users must join a listserv and all messages posted to the listserv are automatically</w:t>
      </w:r>
      <w:r w:rsidR="006A4BBC">
        <w:t xml:space="preserve"> sent</w:t>
      </w:r>
      <w:r>
        <w:t xml:space="preserve"> to</w:t>
      </w:r>
      <w:r w:rsidR="006A4BBC">
        <w:t xml:space="preserve"> each member of the listserv.)</w:t>
      </w:r>
    </w:p>
  </w:footnote>
  <w:footnote w:id="4">
    <w:p w:rsidR="001B3484" w:rsidRDefault="001B3484">
      <w:pPr>
        <w:pStyle w:val="FootnoteText"/>
      </w:pPr>
      <w:r>
        <w:rPr>
          <w:rStyle w:val="FootnoteReference"/>
        </w:rPr>
        <w:footnoteRef/>
      </w:r>
      <w:r>
        <w:t xml:space="preserve"> Excerpted from the Division of Legislative Services' </w:t>
      </w:r>
      <w:r>
        <w:rPr>
          <w:i/>
          <w:iCs/>
        </w:rPr>
        <w:t>Virginia Legislative Issue Brief</w:t>
      </w:r>
      <w:r>
        <w:t>, No. 37, March 2004, written by Lisa Wallmeyer and Maria J.K. Everett.</w:t>
      </w:r>
    </w:p>
  </w:footnote>
  <w:footnote w:id="5">
    <w:p w:rsidR="001B3484" w:rsidRDefault="001B3484">
      <w:pPr>
        <w:pStyle w:val="FootnoteText"/>
      </w:pPr>
      <w:r>
        <w:rPr>
          <w:rStyle w:val="FootnoteReference"/>
        </w:rPr>
        <w:footnoteRef/>
      </w:r>
      <w:r>
        <w:t xml:space="preserve"> For a complete analysis of the </w:t>
      </w:r>
      <w:r>
        <w:rPr>
          <w:i/>
          <w:iCs/>
        </w:rPr>
        <w:t>Beck v. Shelton</w:t>
      </w:r>
      <w:r>
        <w:t xml:space="preserve"> case, please refer </w:t>
      </w:r>
      <w:r w:rsidR="008E2034">
        <w:t xml:space="preserve">to the FOIA Council's website: </w:t>
      </w:r>
      <w:r>
        <w:t>http://foiacouncil.dls.virginia.gov.</w:t>
      </w:r>
    </w:p>
  </w:footnote>
  <w:footnote w:id="6">
    <w:p w:rsidR="001B3484" w:rsidRDefault="001B3484">
      <w:pPr>
        <w:pStyle w:val="FootnoteText"/>
      </w:pPr>
      <w:r>
        <w:rPr>
          <w:rStyle w:val="FootnoteReference"/>
        </w:rPr>
        <w:footnoteRef/>
      </w:r>
      <w:r>
        <w:t xml:space="preserve"> </w:t>
      </w:r>
      <w:r>
        <w:rPr>
          <w:i/>
          <w:iCs/>
        </w:rPr>
        <w:t>Id</w:t>
      </w:r>
      <w:r>
        <w:t>. at 7.</w:t>
      </w:r>
    </w:p>
  </w:footnote>
  <w:footnote w:id="7">
    <w:p w:rsidR="001B3484" w:rsidRDefault="001B3484">
      <w:pPr>
        <w:pStyle w:val="FootnoteText"/>
      </w:pPr>
      <w:r>
        <w:rPr>
          <w:rStyle w:val="FootnoteReference"/>
        </w:rPr>
        <w:footnoteRef/>
      </w:r>
      <w:r>
        <w:t xml:space="preserve"> </w:t>
      </w:r>
      <w:r>
        <w:rPr>
          <w:i/>
          <w:iCs/>
        </w:rPr>
        <w:t>Id</w:t>
      </w:r>
      <w:r>
        <w:t>. at 11 (citing 1999 Op. Atty. Gen. 12).</w:t>
      </w:r>
    </w:p>
  </w:footnote>
  <w:footnote w:id="8">
    <w:p w:rsidR="001B3484" w:rsidRDefault="001B3484">
      <w:pPr>
        <w:pStyle w:val="FootnoteText"/>
      </w:pPr>
      <w:r>
        <w:rPr>
          <w:rStyle w:val="FootnoteReference"/>
        </w:rPr>
        <w:footnoteRef/>
      </w:r>
      <w:r>
        <w:t xml:space="preserve"> </w:t>
      </w:r>
      <w:r>
        <w:rPr>
          <w:i/>
          <w:iCs/>
        </w:rPr>
        <w:t>Id</w:t>
      </w:r>
      <w:r>
        <w:t xml:space="preserve">. at 12 (citing </w:t>
      </w:r>
      <w:r>
        <w:rPr>
          <w:i/>
          <w:iCs/>
        </w:rPr>
        <w:t>Browning-Ferris, Inc. v. Commonwealth</w:t>
      </w:r>
      <w:r>
        <w:t>, 225 Va. 157, 161-62, 300 S.E. 2d 603, 605-06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71B1D"/>
    <w:multiLevelType w:val="hybridMultilevel"/>
    <w:tmpl w:val="D452C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C5"/>
    <w:rsid w:val="000214C5"/>
    <w:rsid w:val="00055143"/>
    <w:rsid w:val="00065915"/>
    <w:rsid w:val="000B5130"/>
    <w:rsid w:val="000F2970"/>
    <w:rsid w:val="00125086"/>
    <w:rsid w:val="00146132"/>
    <w:rsid w:val="00153647"/>
    <w:rsid w:val="00166D6E"/>
    <w:rsid w:val="001913E6"/>
    <w:rsid w:val="001B3484"/>
    <w:rsid w:val="00255E0E"/>
    <w:rsid w:val="00267E47"/>
    <w:rsid w:val="00282446"/>
    <w:rsid w:val="002A6EFE"/>
    <w:rsid w:val="002B50E7"/>
    <w:rsid w:val="002C324C"/>
    <w:rsid w:val="002C6864"/>
    <w:rsid w:val="002E1ED3"/>
    <w:rsid w:val="003163BF"/>
    <w:rsid w:val="00323D88"/>
    <w:rsid w:val="0038503C"/>
    <w:rsid w:val="003B34DD"/>
    <w:rsid w:val="003E284E"/>
    <w:rsid w:val="00420889"/>
    <w:rsid w:val="0044565E"/>
    <w:rsid w:val="00466381"/>
    <w:rsid w:val="00466B08"/>
    <w:rsid w:val="004853E1"/>
    <w:rsid w:val="004A28CB"/>
    <w:rsid w:val="00521594"/>
    <w:rsid w:val="00523BFA"/>
    <w:rsid w:val="00532801"/>
    <w:rsid w:val="00536F08"/>
    <w:rsid w:val="00552689"/>
    <w:rsid w:val="00566D09"/>
    <w:rsid w:val="005763D4"/>
    <w:rsid w:val="005B340E"/>
    <w:rsid w:val="0060622D"/>
    <w:rsid w:val="006069A5"/>
    <w:rsid w:val="006266D5"/>
    <w:rsid w:val="0066432B"/>
    <w:rsid w:val="006A4BBC"/>
    <w:rsid w:val="006F561F"/>
    <w:rsid w:val="007A1771"/>
    <w:rsid w:val="00810CAF"/>
    <w:rsid w:val="00851676"/>
    <w:rsid w:val="00863271"/>
    <w:rsid w:val="00867C8E"/>
    <w:rsid w:val="00895E6C"/>
    <w:rsid w:val="0089698B"/>
    <w:rsid w:val="008B7E32"/>
    <w:rsid w:val="008E2034"/>
    <w:rsid w:val="009128E5"/>
    <w:rsid w:val="00927CB1"/>
    <w:rsid w:val="0099700C"/>
    <w:rsid w:val="009F4298"/>
    <w:rsid w:val="00A44CF1"/>
    <w:rsid w:val="00A54513"/>
    <w:rsid w:val="00A70F81"/>
    <w:rsid w:val="00AE6C9D"/>
    <w:rsid w:val="00B440B6"/>
    <w:rsid w:val="00B46206"/>
    <w:rsid w:val="00BB1850"/>
    <w:rsid w:val="00BC0536"/>
    <w:rsid w:val="00BF5391"/>
    <w:rsid w:val="00D1667B"/>
    <w:rsid w:val="00D25E5D"/>
    <w:rsid w:val="00D357A4"/>
    <w:rsid w:val="00D42083"/>
    <w:rsid w:val="00D563A5"/>
    <w:rsid w:val="00D93820"/>
    <w:rsid w:val="00DB6A22"/>
    <w:rsid w:val="00DC09D9"/>
    <w:rsid w:val="00DC2BD2"/>
    <w:rsid w:val="00DC5B01"/>
    <w:rsid w:val="00DF1CE9"/>
    <w:rsid w:val="00DF72BA"/>
    <w:rsid w:val="00E3094C"/>
    <w:rsid w:val="00E73B0F"/>
    <w:rsid w:val="00E81CDA"/>
    <w:rsid w:val="00E853B9"/>
    <w:rsid w:val="00EC7610"/>
    <w:rsid w:val="00EF291C"/>
    <w:rsid w:val="00EF74B1"/>
    <w:rsid w:val="00F40A71"/>
    <w:rsid w:val="00FA7983"/>
    <w:rsid w:val="00FB3AB3"/>
    <w:rsid w:val="00F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1BFC71E-A26C-4775-9267-A9037285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A54513"/>
    <w:rPr>
      <w:sz w:val="16"/>
      <w:szCs w:val="16"/>
    </w:rPr>
  </w:style>
  <w:style w:type="paragraph" w:styleId="CommentText">
    <w:name w:val="annotation text"/>
    <w:basedOn w:val="Normal"/>
    <w:link w:val="CommentTextChar"/>
    <w:rsid w:val="00A54513"/>
    <w:rPr>
      <w:sz w:val="20"/>
      <w:szCs w:val="20"/>
    </w:rPr>
  </w:style>
  <w:style w:type="character" w:customStyle="1" w:styleId="CommentTextChar">
    <w:name w:val="Comment Text Char"/>
    <w:basedOn w:val="DefaultParagraphFont"/>
    <w:link w:val="CommentText"/>
    <w:rsid w:val="00A54513"/>
  </w:style>
  <w:style w:type="paragraph" w:styleId="CommentSubject">
    <w:name w:val="annotation subject"/>
    <w:basedOn w:val="CommentText"/>
    <w:next w:val="CommentText"/>
    <w:link w:val="CommentSubjectChar"/>
    <w:rsid w:val="00A54513"/>
    <w:rPr>
      <w:b/>
      <w:bCs/>
    </w:rPr>
  </w:style>
  <w:style w:type="character" w:customStyle="1" w:styleId="CommentSubjectChar">
    <w:name w:val="Comment Subject Char"/>
    <w:basedOn w:val="CommentTextChar"/>
    <w:link w:val="CommentSubject"/>
    <w:rsid w:val="00A54513"/>
    <w:rPr>
      <w:b/>
      <w:bCs/>
    </w:rPr>
  </w:style>
  <w:style w:type="paragraph" w:styleId="Revision">
    <w:name w:val="Revision"/>
    <w:hidden/>
    <w:uiPriority w:val="99"/>
    <w:semiHidden/>
    <w:rsid w:val="00A54513"/>
    <w:rPr>
      <w:sz w:val="24"/>
      <w:szCs w:val="24"/>
    </w:rPr>
  </w:style>
  <w:style w:type="paragraph" w:styleId="BalloonText">
    <w:name w:val="Balloon Text"/>
    <w:basedOn w:val="Normal"/>
    <w:link w:val="BalloonTextChar"/>
    <w:rsid w:val="00A54513"/>
    <w:rPr>
      <w:rFonts w:ascii="Tahoma" w:hAnsi="Tahoma" w:cs="Tahoma"/>
      <w:sz w:val="16"/>
      <w:szCs w:val="16"/>
    </w:rPr>
  </w:style>
  <w:style w:type="character" w:customStyle="1" w:styleId="BalloonTextChar">
    <w:name w:val="Balloon Text Char"/>
    <w:basedOn w:val="DefaultParagraphFont"/>
    <w:link w:val="BalloonText"/>
    <w:rsid w:val="00A54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Everett</dc:creator>
  <cp:lastModifiedBy>Julie Smith</cp:lastModifiedBy>
  <cp:revision>2</cp:revision>
  <cp:lastPrinted>2004-08-19T18:36:00Z</cp:lastPrinted>
  <dcterms:created xsi:type="dcterms:W3CDTF">2024-10-29T18:59:00Z</dcterms:created>
  <dcterms:modified xsi:type="dcterms:W3CDTF">2024-10-29T18:59:00Z</dcterms:modified>
</cp:coreProperties>
</file>